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楷体" w:hAnsi="楷体" w:eastAsia="楷体"/>
          <w:bCs/>
          <w:sz w:val="36"/>
          <w:szCs w:val="36"/>
        </w:rPr>
      </w:pPr>
      <w:r>
        <w:rPr>
          <w:rFonts w:hint="eastAsia" w:ascii="楷体" w:hAnsi="楷体" w:eastAsia="楷体"/>
          <w:bCs/>
          <w:sz w:val="36"/>
          <w:szCs w:val="36"/>
        </w:rPr>
        <w:t>管理体系审核记录表</w:t>
      </w:r>
    </w:p>
    <w:tbl>
      <w:tblPr>
        <w:tblStyle w:val="11"/>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311"/>
        <w:gridCol w:w="10237"/>
        <w:gridCol w:w="1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809" w:type="dxa"/>
            <w:vMerge w:val="restart"/>
            <w:vAlign w:val="center"/>
          </w:tcPr>
          <w:p>
            <w:pPr>
              <w:spacing w:before="120"/>
              <w:jc w:val="center"/>
              <w:rPr>
                <w:rFonts w:ascii="楷体" w:hAnsi="楷体" w:eastAsia="楷体"/>
                <w:sz w:val="24"/>
                <w:szCs w:val="24"/>
              </w:rPr>
            </w:pPr>
            <w:r>
              <w:rPr>
                <w:rFonts w:hint="eastAsia" w:ascii="楷体" w:hAnsi="楷体" w:eastAsia="楷体"/>
                <w:sz w:val="24"/>
                <w:szCs w:val="24"/>
              </w:rPr>
              <w:t>过程与活动、</w:t>
            </w:r>
          </w:p>
          <w:p>
            <w:pPr>
              <w:jc w:val="center"/>
              <w:rPr>
                <w:rFonts w:ascii="楷体" w:hAnsi="楷体" w:eastAsia="楷体"/>
                <w:sz w:val="24"/>
                <w:szCs w:val="24"/>
              </w:rPr>
            </w:pPr>
            <w:r>
              <w:rPr>
                <w:rFonts w:hint="eastAsia" w:ascii="楷体" w:hAnsi="楷体" w:eastAsia="楷体"/>
                <w:sz w:val="24"/>
                <w:szCs w:val="24"/>
              </w:rPr>
              <w:t>抽样计划</w:t>
            </w:r>
          </w:p>
        </w:tc>
        <w:tc>
          <w:tcPr>
            <w:tcW w:w="1311" w:type="dxa"/>
            <w:vMerge w:val="restart"/>
            <w:vAlign w:val="center"/>
          </w:tcPr>
          <w:p>
            <w:pPr>
              <w:rPr>
                <w:rFonts w:ascii="楷体" w:hAnsi="楷体" w:eastAsia="楷体"/>
                <w:sz w:val="24"/>
                <w:szCs w:val="24"/>
              </w:rPr>
            </w:pPr>
            <w:r>
              <w:rPr>
                <w:rFonts w:hint="eastAsia" w:ascii="楷体" w:hAnsi="楷体" w:eastAsia="楷体"/>
                <w:sz w:val="24"/>
                <w:szCs w:val="24"/>
              </w:rPr>
              <w:t>涉及条款</w:t>
            </w:r>
          </w:p>
        </w:tc>
        <w:tc>
          <w:tcPr>
            <w:tcW w:w="10237" w:type="dxa"/>
            <w:vAlign w:val="center"/>
          </w:tcPr>
          <w:p>
            <w:pPr>
              <w:rPr>
                <w:rFonts w:hint="default" w:ascii="楷体" w:hAnsi="楷体" w:eastAsia="楷体"/>
                <w:sz w:val="24"/>
                <w:szCs w:val="24"/>
                <w:lang w:val="en-US" w:eastAsia="zh-CN"/>
              </w:rPr>
            </w:pPr>
            <w:r>
              <w:rPr>
                <w:rFonts w:hint="eastAsia" w:ascii="楷体" w:hAnsi="楷体" w:eastAsia="楷体"/>
                <w:sz w:val="24"/>
                <w:szCs w:val="24"/>
              </w:rPr>
              <w:t>受审核部门：</w:t>
            </w:r>
            <w:r>
              <w:rPr>
                <w:rFonts w:hint="eastAsia" w:ascii="楷体" w:hAnsi="楷体" w:eastAsia="楷体"/>
                <w:sz w:val="24"/>
                <w:szCs w:val="24"/>
                <w:lang w:val="en-US" w:eastAsia="zh-CN"/>
              </w:rPr>
              <w:t>技术</w:t>
            </w:r>
            <w:r>
              <w:rPr>
                <w:rFonts w:hint="eastAsia" w:ascii="楷体" w:hAnsi="楷体" w:eastAsia="楷体"/>
                <w:sz w:val="24"/>
                <w:szCs w:val="24"/>
              </w:rPr>
              <w:t>部      主管领导：</w:t>
            </w:r>
            <w:r>
              <w:rPr>
                <w:rFonts w:hint="eastAsia" w:ascii="楷体" w:hAnsi="楷体" w:eastAsia="楷体"/>
                <w:sz w:val="24"/>
                <w:szCs w:val="24"/>
                <w:lang w:eastAsia="zh-CN"/>
              </w:rPr>
              <w:t>胡明飞</w:t>
            </w:r>
            <w:r>
              <w:rPr>
                <w:rFonts w:hint="eastAsia" w:ascii="楷体" w:hAnsi="楷体" w:eastAsia="楷体"/>
                <w:sz w:val="24"/>
                <w:szCs w:val="24"/>
              </w:rPr>
              <w:t xml:space="preserve">     陪同人员：</w:t>
            </w:r>
            <w:r>
              <w:rPr>
                <w:rFonts w:hint="eastAsia" w:ascii="楷体" w:hAnsi="楷体" w:eastAsia="楷体"/>
                <w:sz w:val="24"/>
                <w:szCs w:val="24"/>
                <w:lang w:val="en-US" w:eastAsia="zh-CN"/>
              </w:rPr>
              <w:t>罗锦霞</w:t>
            </w:r>
          </w:p>
        </w:tc>
        <w:tc>
          <w:tcPr>
            <w:tcW w:w="1352" w:type="dxa"/>
            <w:vMerge w:val="restart"/>
            <w:vAlign w:val="center"/>
          </w:tcPr>
          <w:p>
            <w:pPr>
              <w:rPr>
                <w:rFonts w:ascii="楷体" w:hAnsi="楷体" w:eastAsia="楷体"/>
                <w:sz w:val="24"/>
                <w:szCs w:val="24"/>
              </w:rPr>
            </w:pPr>
            <w:r>
              <w:rPr>
                <w:rFonts w:hint="eastAsia" w:ascii="楷体" w:hAnsi="楷体" w:eastAsia="楷体"/>
                <w:sz w:val="24"/>
                <w:szCs w:val="24"/>
              </w:rPr>
              <w:t>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809" w:type="dxa"/>
            <w:vMerge w:val="continue"/>
            <w:vAlign w:val="center"/>
          </w:tcPr>
          <w:p>
            <w:pPr>
              <w:rPr>
                <w:rFonts w:ascii="楷体" w:hAnsi="楷体" w:eastAsia="楷体"/>
                <w:sz w:val="24"/>
                <w:szCs w:val="24"/>
              </w:rPr>
            </w:pPr>
          </w:p>
        </w:tc>
        <w:tc>
          <w:tcPr>
            <w:tcW w:w="1311" w:type="dxa"/>
            <w:vMerge w:val="continue"/>
            <w:vAlign w:val="center"/>
          </w:tcPr>
          <w:p>
            <w:pPr>
              <w:rPr>
                <w:rFonts w:ascii="楷体" w:hAnsi="楷体" w:eastAsia="楷体"/>
                <w:sz w:val="24"/>
                <w:szCs w:val="24"/>
              </w:rPr>
            </w:pPr>
          </w:p>
        </w:tc>
        <w:tc>
          <w:tcPr>
            <w:tcW w:w="10237" w:type="dxa"/>
            <w:vAlign w:val="center"/>
          </w:tcPr>
          <w:p>
            <w:pPr>
              <w:spacing w:before="120"/>
              <w:rPr>
                <w:rFonts w:hint="default" w:ascii="楷体" w:hAnsi="楷体" w:eastAsia="楷体"/>
                <w:sz w:val="24"/>
                <w:szCs w:val="24"/>
                <w:lang w:val="en-US" w:eastAsia="zh-CN"/>
              </w:rPr>
            </w:pPr>
            <w:r>
              <w:rPr>
                <w:rFonts w:hint="eastAsia" w:ascii="楷体" w:hAnsi="楷体" w:eastAsia="楷体"/>
                <w:sz w:val="24"/>
                <w:szCs w:val="24"/>
              </w:rPr>
              <w:t>审核员：</w:t>
            </w:r>
            <w:r>
              <w:rPr>
                <w:rFonts w:hint="eastAsia" w:ascii="楷体" w:hAnsi="楷体" w:eastAsia="楷体"/>
                <w:sz w:val="24"/>
                <w:szCs w:val="24"/>
                <w:lang w:val="en-US" w:eastAsia="zh-CN"/>
              </w:rPr>
              <w:t>李俐</w:t>
            </w:r>
            <w:r>
              <w:rPr>
                <w:rFonts w:hint="eastAsia" w:ascii="楷体" w:hAnsi="楷体" w:eastAsia="楷体"/>
                <w:sz w:val="24"/>
                <w:szCs w:val="24"/>
              </w:rPr>
              <w:t xml:space="preserve"> </w:t>
            </w:r>
            <w:r>
              <w:rPr>
                <w:rFonts w:hint="eastAsia" w:ascii="楷体" w:hAnsi="楷体" w:eastAsia="楷体"/>
                <w:sz w:val="24"/>
                <w:szCs w:val="24"/>
                <w:lang w:val="en-US" w:eastAsia="zh-CN"/>
              </w:rPr>
              <w:t>强兴</w:t>
            </w:r>
            <w:r>
              <w:rPr>
                <w:rFonts w:hint="eastAsia" w:ascii="楷体" w:hAnsi="楷体" w:eastAsia="楷体"/>
                <w:sz w:val="24"/>
                <w:szCs w:val="24"/>
              </w:rPr>
              <w:t xml:space="preserve">     审核时间：20</w:t>
            </w:r>
            <w:r>
              <w:rPr>
                <w:rFonts w:hint="eastAsia" w:ascii="楷体" w:hAnsi="楷体" w:eastAsia="楷体"/>
                <w:sz w:val="24"/>
                <w:szCs w:val="24"/>
                <w:lang w:val="en-US" w:eastAsia="zh-CN"/>
              </w:rPr>
              <w:t>20</w:t>
            </w:r>
            <w:r>
              <w:rPr>
                <w:rFonts w:hint="eastAsia" w:ascii="楷体" w:hAnsi="楷体" w:eastAsia="楷体"/>
                <w:sz w:val="24"/>
                <w:szCs w:val="24"/>
              </w:rPr>
              <w:t>.</w:t>
            </w:r>
            <w:r>
              <w:rPr>
                <w:rFonts w:hint="eastAsia" w:ascii="楷体" w:hAnsi="楷体" w:eastAsia="楷体"/>
                <w:sz w:val="24"/>
                <w:szCs w:val="24"/>
                <w:lang w:val="en-US" w:eastAsia="zh-CN"/>
              </w:rPr>
              <w:t>7.11</w:t>
            </w:r>
          </w:p>
        </w:tc>
        <w:tc>
          <w:tcPr>
            <w:tcW w:w="1352" w:type="dxa"/>
            <w:vMerge w:val="continue"/>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809" w:type="dxa"/>
            <w:vMerge w:val="continue"/>
            <w:vAlign w:val="center"/>
          </w:tcPr>
          <w:p>
            <w:pPr>
              <w:rPr>
                <w:rFonts w:ascii="楷体" w:hAnsi="楷体" w:eastAsia="楷体"/>
                <w:sz w:val="24"/>
                <w:szCs w:val="24"/>
              </w:rPr>
            </w:pPr>
          </w:p>
        </w:tc>
        <w:tc>
          <w:tcPr>
            <w:tcW w:w="1311" w:type="dxa"/>
            <w:vMerge w:val="continue"/>
            <w:vAlign w:val="center"/>
          </w:tcPr>
          <w:p>
            <w:pPr>
              <w:rPr>
                <w:rFonts w:ascii="楷体" w:hAnsi="楷体" w:eastAsia="楷体"/>
                <w:sz w:val="24"/>
                <w:szCs w:val="24"/>
              </w:rPr>
            </w:pPr>
          </w:p>
        </w:tc>
        <w:tc>
          <w:tcPr>
            <w:tcW w:w="10237" w:type="dxa"/>
            <w:vAlign w:val="center"/>
          </w:tcPr>
          <w:p>
            <w:pPr>
              <w:spacing w:line="360" w:lineRule="auto"/>
              <w:rPr>
                <w:rFonts w:hint="eastAsia"/>
              </w:rPr>
            </w:pPr>
            <w:r>
              <w:rPr>
                <w:rFonts w:hint="eastAsia"/>
              </w:rPr>
              <w:t>审核条款：</w:t>
            </w:r>
          </w:p>
          <w:p>
            <w:pPr>
              <w:snapToGrid w:val="0"/>
              <w:spacing w:line="360" w:lineRule="auto"/>
              <w:rPr>
                <w:rFonts w:hint="eastAsia"/>
              </w:rPr>
            </w:pPr>
            <w:r>
              <w:rPr>
                <w:rFonts w:hint="eastAsia"/>
              </w:rPr>
              <w:t>Q：5.3；6.2；7.1.3；7.1.4；7.1.5；8.1；8.3</w:t>
            </w:r>
            <w:r>
              <w:rPr>
                <w:rFonts w:hint="eastAsia"/>
                <w:lang w:eastAsia="zh-CN"/>
              </w:rPr>
              <w:t>；</w:t>
            </w:r>
            <w:r>
              <w:rPr>
                <w:rFonts w:hint="eastAsia"/>
              </w:rPr>
              <w:t>8.6；8.7；</w:t>
            </w:r>
          </w:p>
          <w:p>
            <w:pPr>
              <w:adjustRightInd w:val="0"/>
              <w:snapToGrid w:val="0"/>
              <w:spacing w:line="360" w:lineRule="auto"/>
              <w:ind w:right="105" w:rightChars="50"/>
              <w:jc w:val="left"/>
              <w:textAlignment w:val="baseline"/>
              <w:rPr>
                <w:rFonts w:hint="default"/>
                <w:lang w:val="en-US" w:eastAsia="zh-CN"/>
              </w:rPr>
            </w:pPr>
            <w:r>
              <w:rPr>
                <w:rFonts w:hint="eastAsia"/>
              </w:rPr>
              <w:t>E:5.3；6.2；6.1.2；8.1；8.2</w:t>
            </w:r>
          </w:p>
          <w:p>
            <w:pPr>
              <w:adjustRightInd w:val="0"/>
              <w:snapToGrid w:val="0"/>
              <w:spacing w:line="360" w:lineRule="auto"/>
              <w:ind w:right="105" w:rightChars="50"/>
              <w:jc w:val="left"/>
              <w:textAlignment w:val="baseline"/>
              <w:rPr>
                <w:rFonts w:hint="eastAsia"/>
              </w:rPr>
            </w:pPr>
            <w:r>
              <w:rPr>
                <w:rFonts w:hint="eastAsia"/>
              </w:rPr>
              <w:t>O:5.3；6.2；6.1.2；8.1；8.2</w:t>
            </w:r>
          </w:p>
        </w:tc>
        <w:tc>
          <w:tcPr>
            <w:tcW w:w="1352" w:type="dxa"/>
            <w:vMerge w:val="continue"/>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trPr>
        <w:tc>
          <w:tcPr>
            <w:tcW w:w="1809" w:type="dxa"/>
            <w:vAlign w:val="center"/>
          </w:tcPr>
          <w:p>
            <w:pPr>
              <w:spacing w:line="360" w:lineRule="auto"/>
              <w:rPr>
                <w:rFonts w:ascii="楷体" w:hAnsi="楷体" w:eastAsia="楷体"/>
                <w:sz w:val="24"/>
                <w:szCs w:val="24"/>
              </w:rPr>
            </w:pPr>
            <w:r>
              <w:rPr>
                <w:rFonts w:hint="eastAsia" w:ascii="楷体" w:hAnsi="楷体" w:eastAsia="楷体"/>
                <w:sz w:val="24"/>
                <w:szCs w:val="24"/>
              </w:rPr>
              <w:t>职责权限、</w:t>
            </w:r>
          </w:p>
        </w:tc>
        <w:tc>
          <w:tcPr>
            <w:tcW w:w="1311" w:type="dxa"/>
          </w:tcPr>
          <w:p>
            <w:pPr>
              <w:snapToGrid w:val="0"/>
              <w:spacing w:line="360" w:lineRule="auto"/>
              <w:rPr>
                <w:rFonts w:hint="eastAsia" w:ascii="楷体" w:hAnsi="楷体" w:eastAsia="楷体" w:cs="宋体"/>
                <w:sz w:val="24"/>
                <w:szCs w:val="24"/>
              </w:rPr>
            </w:pPr>
          </w:p>
          <w:p>
            <w:pPr>
              <w:snapToGrid w:val="0"/>
              <w:spacing w:line="360" w:lineRule="auto"/>
              <w:rPr>
                <w:rFonts w:hint="eastAsia" w:ascii="楷体" w:hAnsi="楷体" w:eastAsia="楷体" w:cs="宋体"/>
                <w:sz w:val="24"/>
                <w:szCs w:val="24"/>
              </w:rPr>
            </w:pPr>
          </w:p>
          <w:p>
            <w:pPr>
              <w:pStyle w:val="2"/>
              <w:rPr>
                <w:rFonts w:hint="eastAsia" w:ascii="楷体" w:hAnsi="楷体" w:eastAsia="楷体" w:cs="宋体"/>
                <w:sz w:val="24"/>
                <w:szCs w:val="24"/>
              </w:rPr>
            </w:pPr>
          </w:p>
          <w:p>
            <w:pPr>
              <w:pStyle w:val="3"/>
              <w:rPr>
                <w:rFonts w:hint="eastAsia" w:ascii="楷体" w:hAnsi="楷体" w:eastAsia="楷体" w:cs="宋体"/>
                <w:sz w:val="24"/>
                <w:szCs w:val="24"/>
              </w:rPr>
            </w:pPr>
          </w:p>
          <w:p>
            <w:pPr>
              <w:pStyle w:val="3"/>
              <w:rPr>
                <w:rFonts w:hint="eastAsia" w:ascii="楷体" w:hAnsi="楷体" w:eastAsia="楷体" w:cs="宋体"/>
                <w:sz w:val="24"/>
                <w:szCs w:val="24"/>
              </w:rPr>
            </w:pPr>
          </w:p>
          <w:p>
            <w:pPr>
              <w:spacing w:line="360" w:lineRule="auto"/>
              <w:rPr>
                <w:rFonts w:ascii="楷体" w:hAnsi="楷体" w:eastAsia="楷体" w:cs="宋体"/>
                <w:color w:val="000000"/>
                <w:kern w:val="0"/>
                <w:sz w:val="24"/>
                <w:szCs w:val="24"/>
              </w:rPr>
            </w:pPr>
            <w:r>
              <w:rPr>
                <w:rFonts w:hint="eastAsia" w:ascii="楷体" w:hAnsi="楷体" w:eastAsia="楷体" w:cs="宋体"/>
                <w:color w:val="000000"/>
                <w:kern w:val="0"/>
                <w:sz w:val="24"/>
                <w:szCs w:val="24"/>
              </w:rPr>
              <w:t>QE</w:t>
            </w:r>
            <w:r>
              <w:rPr>
                <w:rFonts w:hint="eastAsia" w:ascii="楷体" w:hAnsi="楷体" w:eastAsia="楷体" w:cs="宋体"/>
                <w:color w:val="000000"/>
                <w:kern w:val="0"/>
                <w:sz w:val="24"/>
                <w:szCs w:val="24"/>
                <w:lang w:val="en-US" w:eastAsia="zh-CN"/>
              </w:rPr>
              <w:t>O：</w:t>
            </w:r>
            <w:r>
              <w:rPr>
                <w:rFonts w:hint="eastAsia" w:ascii="楷体" w:hAnsi="楷体" w:eastAsia="楷体" w:cs="宋体"/>
                <w:color w:val="000000"/>
                <w:kern w:val="0"/>
                <w:sz w:val="24"/>
                <w:szCs w:val="24"/>
              </w:rPr>
              <w:t>5.3</w:t>
            </w:r>
          </w:p>
          <w:p>
            <w:pPr>
              <w:snapToGrid w:val="0"/>
              <w:spacing w:line="360" w:lineRule="auto"/>
              <w:rPr>
                <w:rFonts w:ascii="楷体" w:hAnsi="楷体" w:eastAsia="楷体" w:cs="宋体"/>
                <w:sz w:val="24"/>
                <w:szCs w:val="24"/>
              </w:rPr>
            </w:pPr>
          </w:p>
          <w:p>
            <w:pPr>
              <w:snapToGrid w:val="0"/>
              <w:spacing w:line="360" w:lineRule="auto"/>
              <w:rPr>
                <w:rFonts w:ascii="楷体" w:hAnsi="楷体" w:eastAsia="楷体" w:cs="宋体"/>
                <w:sz w:val="24"/>
                <w:szCs w:val="24"/>
              </w:rPr>
            </w:pPr>
            <w:r>
              <w:rPr>
                <w:rFonts w:hint="eastAsia" w:ascii="楷体" w:hAnsi="楷体" w:eastAsia="楷体" w:cs="宋体"/>
                <w:bCs/>
                <w:sz w:val="24"/>
                <w:szCs w:val="24"/>
              </w:rPr>
              <w:t xml:space="preserve"> </w:t>
            </w:r>
            <w:r>
              <w:rPr>
                <w:rFonts w:ascii="楷体" w:hAnsi="楷体" w:eastAsia="楷体" w:cs="宋体"/>
                <w:sz w:val="24"/>
                <w:szCs w:val="24"/>
              </w:rPr>
              <w:t xml:space="preserve"> </w:t>
            </w:r>
          </w:p>
        </w:tc>
        <w:tc>
          <w:tcPr>
            <w:tcW w:w="10237" w:type="dxa"/>
          </w:tcPr>
          <w:p>
            <w:pPr>
              <w:spacing w:line="360" w:lineRule="auto"/>
              <w:rPr>
                <w:rFonts w:hint="eastAsia"/>
                <w:sz w:val="21"/>
                <w:szCs w:val="21"/>
              </w:rPr>
            </w:pPr>
            <w:r>
              <w:rPr>
                <w:rFonts w:hint="eastAsia"/>
                <w:sz w:val="21"/>
                <w:szCs w:val="21"/>
              </w:rPr>
              <w:t>询问技术部负责人</w:t>
            </w:r>
            <w:r>
              <w:rPr>
                <w:rFonts w:hint="eastAsia"/>
                <w:sz w:val="21"/>
                <w:szCs w:val="21"/>
                <w:lang w:eastAsia="zh-CN"/>
              </w:rPr>
              <w:t>胡明飞</w:t>
            </w:r>
            <w:r>
              <w:rPr>
                <w:rFonts w:hint="eastAsia"/>
                <w:sz w:val="21"/>
                <w:szCs w:val="21"/>
              </w:rPr>
              <w:t>，能明确本人在质量管理体系方面的职责：</w:t>
            </w:r>
            <w:r>
              <w:rPr>
                <w:sz w:val="21"/>
                <w:szCs w:val="21"/>
              </w:rPr>
              <w:t>基础设施管理</w:t>
            </w:r>
            <w:r>
              <w:rPr>
                <w:rFonts w:hint="eastAsia"/>
                <w:sz w:val="21"/>
                <w:szCs w:val="21"/>
              </w:rPr>
              <w:t>、</w:t>
            </w:r>
            <w:r>
              <w:rPr>
                <w:sz w:val="21"/>
                <w:szCs w:val="21"/>
              </w:rPr>
              <w:t>工作环境管理</w:t>
            </w:r>
            <w:r>
              <w:rPr>
                <w:rFonts w:hint="eastAsia"/>
                <w:sz w:val="21"/>
                <w:szCs w:val="21"/>
              </w:rPr>
              <w:t>、运行策划和控制。</w:t>
            </w:r>
          </w:p>
          <w:p>
            <w:pPr>
              <w:snapToGrid w:val="0"/>
              <w:spacing w:line="360" w:lineRule="auto"/>
              <w:rPr>
                <w:rFonts w:hint="eastAsia"/>
                <w:sz w:val="21"/>
                <w:szCs w:val="21"/>
              </w:rPr>
            </w:pPr>
            <w:r>
              <w:rPr>
                <w:rFonts w:hint="eastAsia" w:ascii="宋体" w:hAnsi="宋体" w:cs="新宋体"/>
                <w:sz w:val="21"/>
                <w:szCs w:val="21"/>
              </w:rPr>
              <w:t>询问主要职责：</w:t>
            </w:r>
          </w:p>
          <w:p>
            <w:pPr>
              <w:pStyle w:val="20"/>
              <w:numPr>
                <w:ilvl w:val="0"/>
                <w:numId w:val="1"/>
              </w:numPr>
              <w:snapToGrid w:val="0"/>
              <w:spacing w:line="360" w:lineRule="auto"/>
              <w:ind w:left="425" w:leftChars="0" w:hanging="425" w:firstLineChars="0"/>
              <w:jc w:val="both"/>
              <w:rPr>
                <w:rFonts w:ascii="宋体" w:hAnsi="宋体" w:eastAsia="宋体"/>
                <w:color w:val="000000"/>
                <w:sz w:val="21"/>
                <w:szCs w:val="21"/>
              </w:rPr>
            </w:pPr>
            <w:r>
              <w:rPr>
                <w:rFonts w:ascii="宋体" w:hAnsi="宋体" w:eastAsia="宋体"/>
                <w:color w:val="000000"/>
                <w:sz w:val="21"/>
                <w:szCs w:val="21"/>
              </w:rPr>
              <w:t>在负责人领导下，确保质量管理体系</w:t>
            </w:r>
            <w:r>
              <w:rPr>
                <w:rFonts w:hint="eastAsia" w:ascii="宋体" w:hAnsi="宋体"/>
                <w:color w:val="000000"/>
                <w:sz w:val="21"/>
                <w:szCs w:val="21"/>
                <w:lang w:val="en-US" w:eastAsia="zh-CN"/>
              </w:rPr>
              <w:t>运行及</w:t>
            </w:r>
            <w:r>
              <w:rPr>
                <w:rFonts w:hint="eastAsia" w:asciiTheme="majorEastAsia" w:hAnsiTheme="majorEastAsia" w:eastAsiaTheme="majorEastAsia" w:cstheme="majorEastAsia"/>
                <w:color w:val="000000"/>
                <w:sz w:val="21"/>
                <w:szCs w:val="21"/>
              </w:rPr>
              <w:t>相关环境、职业健康安全管理活动的实施与执行</w:t>
            </w:r>
            <w:r>
              <w:rPr>
                <w:rFonts w:hint="eastAsia" w:asciiTheme="majorEastAsia" w:hAnsiTheme="majorEastAsia" w:eastAsiaTheme="majorEastAsia" w:cstheme="majorEastAsia"/>
                <w:color w:val="000000"/>
                <w:sz w:val="21"/>
                <w:szCs w:val="21"/>
                <w:lang w:eastAsia="zh-CN"/>
              </w:rPr>
              <w:t>。</w:t>
            </w:r>
          </w:p>
          <w:p>
            <w:pPr>
              <w:pStyle w:val="20"/>
              <w:numPr>
                <w:ilvl w:val="0"/>
                <w:numId w:val="1"/>
              </w:numPr>
              <w:snapToGrid w:val="0"/>
              <w:spacing w:line="360" w:lineRule="auto"/>
              <w:ind w:left="425" w:leftChars="0" w:hanging="425" w:firstLineChars="0"/>
              <w:jc w:val="both"/>
              <w:rPr>
                <w:rFonts w:ascii="宋体" w:hAnsi="宋体" w:eastAsia="宋体"/>
                <w:color w:val="000000"/>
                <w:sz w:val="21"/>
                <w:szCs w:val="21"/>
              </w:rPr>
            </w:pPr>
            <w:r>
              <w:rPr>
                <w:rFonts w:ascii="宋体" w:hAnsi="宋体" w:eastAsia="宋体"/>
                <w:color w:val="000000"/>
                <w:sz w:val="21"/>
                <w:szCs w:val="21"/>
              </w:rPr>
              <w:t>负责本公司管理体系文件的编制</w:t>
            </w:r>
            <w:r>
              <w:rPr>
                <w:rFonts w:hint="eastAsia" w:ascii="宋体" w:hAnsi="宋体" w:eastAsia="宋体"/>
                <w:color w:val="000000"/>
                <w:sz w:val="21"/>
                <w:szCs w:val="21"/>
              </w:rPr>
              <w:t>；</w:t>
            </w:r>
          </w:p>
          <w:p>
            <w:pPr>
              <w:pStyle w:val="20"/>
              <w:numPr>
                <w:ilvl w:val="0"/>
                <w:numId w:val="1"/>
              </w:numPr>
              <w:snapToGrid w:val="0"/>
              <w:spacing w:line="360" w:lineRule="auto"/>
              <w:ind w:left="425" w:leftChars="0" w:hanging="425" w:firstLineChars="0"/>
              <w:jc w:val="both"/>
              <w:rPr>
                <w:rFonts w:ascii="宋体" w:hAnsi="宋体" w:eastAsia="宋体"/>
                <w:color w:val="000000"/>
                <w:sz w:val="21"/>
                <w:szCs w:val="21"/>
              </w:rPr>
            </w:pPr>
            <w:r>
              <w:rPr>
                <w:rFonts w:ascii="宋体" w:hAnsi="宋体" w:eastAsia="宋体"/>
                <w:color w:val="000000"/>
                <w:sz w:val="21"/>
                <w:szCs w:val="21"/>
              </w:rPr>
              <w:t>协助负责人完成内部审核工作，并负责组织实施；</w:t>
            </w:r>
          </w:p>
          <w:p>
            <w:pPr>
              <w:pStyle w:val="20"/>
              <w:numPr>
                <w:ilvl w:val="0"/>
                <w:numId w:val="1"/>
              </w:numPr>
              <w:snapToGrid w:val="0"/>
              <w:spacing w:line="360" w:lineRule="auto"/>
              <w:ind w:left="425" w:leftChars="0" w:hanging="425" w:firstLineChars="0"/>
              <w:jc w:val="both"/>
              <w:rPr>
                <w:rFonts w:hint="eastAsia" w:ascii="宋体" w:hAnsi="宋体" w:eastAsia="宋体" w:cs="Arial"/>
                <w:color w:val="000000"/>
                <w:sz w:val="21"/>
                <w:szCs w:val="21"/>
              </w:rPr>
            </w:pPr>
            <w:r>
              <w:rPr>
                <w:rFonts w:hint="eastAsia" w:ascii="宋体" w:hAnsi="宋体" w:eastAsia="宋体" w:cs="Arial"/>
                <w:color w:val="000000"/>
                <w:sz w:val="21"/>
                <w:szCs w:val="21"/>
              </w:rPr>
              <w:t>负责证书/报告的编制工作；</w:t>
            </w:r>
          </w:p>
          <w:p>
            <w:pPr>
              <w:pStyle w:val="20"/>
              <w:numPr>
                <w:ilvl w:val="0"/>
                <w:numId w:val="1"/>
              </w:numPr>
              <w:snapToGrid w:val="0"/>
              <w:spacing w:line="360" w:lineRule="auto"/>
              <w:ind w:left="425" w:leftChars="0" w:hanging="425" w:firstLineChars="0"/>
              <w:jc w:val="both"/>
              <w:rPr>
                <w:rFonts w:hint="eastAsia" w:ascii="宋体" w:hAnsi="宋体" w:eastAsia="宋体" w:cs="Arial"/>
                <w:color w:val="000000"/>
                <w:sz w:val="21"/>
                <w:szCs w:val="21"/>
              </w:rPr>
            </w:pPr>
            <w:r>
              <w:rPr>
                <w:rFonts w:hint="eastAsia" w:ascii="宋体" w:hAnsi="宋体" w:eastAsia="宋体" w:cs="Arial"/>
                <w:color w:val="000000"/>
                <w:sz w:val="21"/>
                <w:szCs w:val="21"/>
              </w:rPr>
              <w:t>全面负责本公司技术工作管理，贯彻执行《检测和校准实验室能力认可准则》及相关要求和持续改进管理体系有效性；</w:t>
            </w:r>
          </w:p>
          <w:p>
            <w:pPr>
              <w:pStyle w:val="20"/>
              <w:numPr>
                <w:ilvl w:val="0"/>
                <w:numId w:val="1"/>
              </w:numPr>
              <w:snapToGrid w:val="0"/>
              <w:spacing w:line="360" w:lineRule="auto"/>
              <w:ind w:left="425" w:leftChars="0" w:hanging="425" w:firstLineChars="0"/>
              <w:jc w:val="both"/>
              <w:rPr>
                <w:rFonts w:hint="eastAsia" w:ascii="宋体" w:hAnsi="宋体" w:eastAsia="宋体" w:cs="Arial"/>
                <w:color w:val="000000"/>
                <w:sz w:val="21"/>
                <w:szCs w:val="21"/>
              </w:rPr>
            </w:pPr>
            <w:r>
              <w:rPr>
                <w:rFonts w:hint="eastAsia" w:ascii="宋体" w:hAnsi="宋体" w:eastAsia="宋体" w:cs="Arial"/>
                <w:color w:val="000000"/>
                <w:sz w:val="21"/>
                <w:szCs w:val="21"/>
              </w:rPr>
              <w:t>负责本公司技术作业指导文件、技术记录表格、第三层文件的批准及相关体系文件的审核；</w:t>
            </w:r>
          </w:p>
          <w:p>
            <w:pPr>
              <w:pStyle w:val="2"/>
            </w:pPr>
            <w:r>
              <w:rPr>
                <w:rFonts w:hint="eastAsia" w:ascii="宋体" w:hAnsi="宋体" w:eastAsia="宋体" w:cs="Arial"/>
                <w:b w:val="0"/>
                <w:bCs w:val="0"/>
                <w:color w:val="000000"/>
                <w:kern w:val="0"/>
                <w:sz w:val="21"/>
                <w:szCs w:val="21"/>
                <w:lang w:val="en-US" w:eastAsia="zh-CN" w:bidi="ar-SA"/>
              </w:rPr>
              <w:t>部门职责清晰、明确。市场开发部负责人能基本阐述本部门的主要职责。</w:t>
            </w:r>
          </w:p>
        </w:tc>
        <w:tc>
          <w:tcPr>
            <w:tcW w:w="1352" w:type="dxa"/>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trPr>
        <w:tc>
          <w:tcPr>
            <w:tcW w:w="1809" w:type="dxa"/>
            <w:vAlign w:val="center"/>
          </w:tcPr>
          <w:p>
            <w:pPr>
              <w:spacing w:line="360" w:lineRule="auto"/>
              <w:rPr>
                <w:rFonts w:ascii="楷体" w:hAnsi="楷体" w:eastAsia="楷体"/>
                <w:sz w:val="24"/>
                <w:szCs w:val="24"/>
              </w:rPr>
            </w:pPr>
            <w:r>
              <w:rPr>
                <w:rFonts w:hint="eastAsia" w:ascii="楷体" w:hAnsi="楷体" w:eastAsia="楷体"/>
                <w:sz w:val="24"/>
                <w:szCs w:val="24"/>
              </w:rPr>
              <w:t>目标、方案</w:t>
            </w:r>
          </w:p>
        </w:tc>
        <w:tc>
          <w:tcPr>
            <w:tcW w:w="1311" w:type="dxa"/>
            <w:vAlign w:val="center"/>
          </w:tcPr>
          <w:p>
            <w:pPr>
              <w:rPr>
                <w:rFonts w:ascii="楷体" w:hAnsi="楷体" w:eastAsia="楷体" w:cs="楷体"/>
                <w:sz w:val="24"/>
                <w:szCs w:val="24"/>
              </w:rPr>
            </w:pPr>
            <w:r>
              <w:rPr>
                <w:rFonts w:hint="eastAsia" w:ascii="楷体" w:hAnsi="楷体" w:eastAsia="楷体" w:cs="宋体"/>
                <w:color w:val="000000"/>
                <w:kern w:val="0"/>
                <w:sz w:val="24"/>
                <w:szCs w:val="24"/>
              </w:rPr>
              <w:t>QE</w:t>
            </w:r>
            <w:r>
              <w:rPr>
                <w:rFonts w:hint="eastAsia" w:ascii="楷体" w:hAnsi="楷体" w:eastAsia="楷体" w:cs="宋体"/>
                <w:color w:val="000000"/>
                <w:kern w:val="0"/>
                <w:sz w:val="24"/>
                <w:szCs w:val="24"/>
                <w:lang w:val="en-US" w:eastAsia="zh-CN"/>
              </w:rPr>
              <w:t>O：</w:t>
            </w:r>
            <w:r>
              <w:rPr>
                <w:rFonts w:hint="eastAsia" w:ascii="楷体" w:hAnsi="楷体" w:eastAsia="楷体" w:cs="宋体"/>
                <w:color w:val="000000"/>
                <w:kern w:val="0"/>
                <w:sz w:val="24"/>
                <w:szCs w:val="24"/>
              </w:rPr>
              <w:t>6.2</w:t>
            </w:r>
          </w:p>
        </w:tc>
        <w:tc>
          <w:tcPr>
            <w:tcW w:w="10237" w:type="dxa"/>
            <w:vAlign w:val="center"/>
          </w:tcPr>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部门目标：  </w:t>
            </w: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2"/>
              <w:gridCol w:w="2385"/>
              <w:gridCol w:w="421"/>
              <w:gridCol w:w="2699"/>
              <w:gridCol w:w="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2" w:type="dxa"/>
                  <w:noWrap w:val="0"/>
                  <w:vAlign w:val="top"/>
                </w:tcPr>
                <w:p>
                  <w:pPr>
                    <w:jc w:val="center"/>
                    <w:rPr>
                      <w:rFonts w:ascii="Arial" w:hAnsi="Arial" w:cs="Arial"/>
                      <w:sz w:val="24"/>
                    </w:rPr>
                  </w:pPr>
                  <w:r>
                    <w:rPr>
                      <w:rFonts w:hint="eastAsia" w:ascii="Arial" w:hAnsi="宋体" w:cs="Arial"/>
                      <w:sz w:val="24"/>
                      <w:lang w:eastAsia="zh-CN"/>
                    </w:rPr>
                    <w:t>技术部</w:t>
                  </w:r>
                  <w:r>
                    <w:rPr>
                      <w:rFonts w:ascii="Arial" w:hAnsi="宋体" w:cs="Arial"/>
                      <w:sz w:val="24"/>
                    </w:rPr>
                    <w:t>目标</w:t>
                  </w:r>
                </w:p>
              </w:tc>
              <w:tc>
                <w:tcPr>
                  <w:tcW w:w="2385" w:type="dxa"/>
                  <w:noWrap w:val="0"/>
                  <w:vAlign w:val="top"/>
                </w:tcPr>
                <w:p>
                  <w:pPr>
                    <w:jc w:val="center"/>
                    <w:rPr>
                      <w:rFonts w:ascii="Arial" w:hAnsi="Arial" w:cs="Arial"/>
                      <w:sz w:val="24"/>
                    </w:rPr>
                  </w:pPr>
                  <w:r>
                    <w:rPr>
                      <w:rFonts w:ascii="Arial" w:hAnsi="宋体" w:cs="Arial"/>
                      <w:sz w:val="24"/>
                    </w:rPr>
                    <w:t>统计方式</w:t>
                  </w:r>
                </w:p>
              </w:tc>
              <w:tc>
                <w:tcPr>
                  <w:tcW w:w="421" w:type="dxa"/>
                  <w:noWrap w:val="0"/>
                  <w:vAlign w:val="top"/>
                </w:tcPr>
                <w:p>
                  <w:pPr>
                    <w:jc w:val="center"/>
                    <w:rPr>
                      <w:rFonts w:ascii="Arial" w:hAnsi="Arial" w:cs="Arial"/>
                      <w:sz w:val="24"/>
                    </w:rPr>
                  </w:pPr>
                  <w:r>
                    <w:rPr>
                      <w:rFonts w:ascii="Arial" w:hAnsi="宋体" w:cs="Arial"/>
                      <w:sz w:val="24"/>
                    </w:rPr>
                    <w:t>周期</w:t>
                  </w:r>
                </w:p>
              </w:tc>
              <w:tc>
                <w:tcPr>
                  <w:tcW w:w="2699" w:type="dxa"/>
                  <w:noWrap w:val="0"/>
                  <w:vAlign w:val="top"/>
                </w:tcPr>
                <w:p>
                  <w:pPr>
                    <w:jc w:val="center"/>
                    <w:rPr>
                      <w:rFonts w:ascii="Arial" w:hAnsi="Arial" w:cs="Arial"/>
                      <w:sz w:val="24"/>
                    </w:rPr>
                  </w:pPr>
                  <w:r>
                    <w:rPr>
                      <w:rFonts w:ascii="Arial" w:hAnsi="宋体" w:cs="Arial"/>
                      <w:sz w:val="24"/>
                    </w:rPr>
                    <w:t>完成情况</w:t>
                  </w:r>
                </w:p>
              </w:tc>
              <w:tc>
                <w:tcPr>
                  <w:tcW w:w="732" w:type="dxa"/>
                  <w:noWrap w:val="0"/>
                  <w:vAlign w:val="top"/>
                </w:tcPr>
                <w:p>
                  <w:pPr>
                    <w:jc w:val="center"/>
                    <w:rPr>
                      <w:rFonts w:ascii="Arial" w:hAnsi="Arial" w:cs="Arial"/>
                      <w:sz w:val="24"/>
                    </w:rPr>
                  </w:pPr>
                  <w:r>
                    <w:rPr>
                      <w:rFonts w:ascii="Arial" w:hAnsi="宋体" w:cs="Arial"/>
                      <w:sz w:val="24"/>
                    </w:rPr>
                    <w:t>考核情况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2622" w:type="dxa"/>
                  <w:noWrap w:val="0"/>
                  <w:vAlign w:val="top"/>
                </w:tcPr>
                <w:p>
                  <w:pPr>
                    <w:rPr>
                      <w:rFonts w:hint="eastAsia" w:ascii="Arial" w:hAnsi="宋体" w:cs="Arial"/>
                      <w:szCs w:val="21"/>
                    </w:rPr>
                  </w:pPr>
                  <w:r>
                    <w:rPr>
                      <w:rFonts w:hint="eastAsia" w:ascii="Arial" w:hAnsi="宋体" w:cs="Arial"/>
                      <w:szCs w:val="21"/>
                      <w:lang w:val="en-US" w:eastAsia="zh-CN"/>
                    </w:rPr>
                    <w:t>1.</w:t>
                  </w:r>
                  <w:r>
                    <w:rPr>
                      <w:rFonts w:hint="eastAsia" w:ascii="Arial" w:hAnsi="宋体" w:cs="Arial"/>
                      <w:szCs w:val="21"/>
                      <w:lang w:eastAsia="zh-CN"/>
                    </w:rPr>
                    <w:t>技术服务合格率</w:t>
                  </w:r>
                  <w:r>
                    <w:rPr>
                      <w:rFonts w:hint="eastAsia" w:ascii="Arial" w:hAnsi="宋体" w:cs="Arial"/>
                      <w:szCs w:val="21"/>
                      <w:lang w:val="en-US" w:eastAsia="zh-CN"/>
                    </w:rPr>
                    <w:t>100%</w:t>
                  </w:r>
                  <w:r>
                    <w:rPr>
                      <w:rFonts w:hint="eastAsia" w:ascii="Arial" w:hAnsi="宋体" w:cs="Arial"/>
                      <w:szCs w:val="21"/>
                    </w:rPr>
                    <w:t>；</w:t>
                  </w:r>
                </w:p>
                <w:p>
                  <w:pPr>
                    <w:rPr>
                      <w:rFonts w:hint="eastAsia" w:ascii="Arial" w:hAnsi="宋体" w:cs="Arial"/>
                      <w:szCs w:val="21"/>
                    </w:rPr>
                  </w:pPr>
                  <w:r>
                    <w:rPr>
                      <w:rFonts w:hint="eastAsia" w:ascii="Arial" w:hAnsi="宋体" w:cs="Arial"/>
                      <w:szCs w:val="21"/>
                      <w:lang w:val="en-US" w:eastAsia="zh-CN"/>
                    </w:rPr>
                    <w:t>2</w:t>
                  </w:r>
                  <w:r>
                    <w:rPr>
                      <w:rFonts w:hint="eastAsia" w:ascii="Arial" w:hAnsi="宋体" w:cs="Arial"/>
                      <w:szCs w:val="21"/>
                    </w:rPr>
                    <w:t>.固体废弃物（含危废）有效处置率≥95%</w:t>
                  </w:r>
                </w:p>
                <w:p>
                  <w:pPr>
                    <w:rPr>
                      <w:rFonts w:hint="eastAsia" w:ascii="宋体" w:hAnsi="宋体" w:eastAsia="宋体" w:cs="宋体"/>
                      <w:sz w:val="24"/>
                      <w:szCs w:val="24"/>
                      <w:lang w:val="en-US" w:eastAsia="zh-CN"/>
                    </w:rPr>
                  </w:pPr>
                </w:p>
              </w:tc>
              <w:tc>
                <w:tcPr>
                  <w:tcW w:w="2385" w:type="dxa"/>
                  <w:noWrap w:val="0"/>
                  <w:vAlign w:val="top"/>
                </w:tcPr>
                <w:p>
                  <w:pPr>
                    <w:rPr>
                      <w:rFonts w:ascii="Arial" w:hAnsi="Arial" w:cs="Arial"/>
                      <w:szCs w:val="21"/>
                    </w:rPr>
                  </w:pPr>
                  <w:r>
                    <w:rPr>
                      <w:rFonts w:ascii="Arial" w:hAnsi="Arial" w:cs="Arial"/>
                      <w:szCs w:val="21"/>
                    </w:rPr>
                    <w:t>1.</w:t>
                  </w:r>
                  <w:r>
                    <w:rPr>
                      <w:rFonts w:hint="eastAsia" w:ascii="Arial" w:hAnsi="Arial" w:cs="Arial"/>
                      <w:szCs w:val="21"/>
                      <w:lang w:val="en-US" w:eastAsia="zh-CN"/>
                    </w:rPr>
                    <w:t>技术服务合格数/技术服务总数</w:t>
                  </w:r>
                  <w:r>
                    <w:rPr>
                      <w:rFonts w:ascii="Arial" w:hAnsi="Arial" w:cs="Arial"/>
                      <w:szCs w:val="21"/>
                    </w:rPr>
                    <w:t>×100%</w:t>
                  </w:r>
                </w:p>
                <w:p>
                  <w:pPr>
                    <w:rPr>
                      <w:rFonts w:ascii="Arial" w:hAnsi="Arial" w:cs="Arial"/>
                      <w:szCs w:val="21"/>
                    </w:rPr>
                  </w:pPr>
                  <w:r>
                    <w:rPr>
                      <w:rFonts w:hint="eastAsia" w:ascii="Arial" w:hAnsi="Arial" w:cs="Arial"/>
                      <w:szCs w:val="21"/>
                      <w:lang w:val="en-US" w:eastAsia="zh-CN"/>
                    </w:rPr>
                    <w:t>2</w:t>
                  </w:r>
                  <w:r>
                    <w:rPr>
                      <w:rFonts w:ascii="Arial" w:hAnsi="Arial" w:cs="Arial"/>
                      <w:szCs w:val="21"/>
                    </w:rPr>
                    <w:t>.</w:t>
                  </w:r>
                  <w:r>
                    <w:rPr>
                      <w:rFonts w:ascii="Arial" w:hAnsi="宋体" w:cs="Arial"/>
                      <w:szCs w:val="21"/>
                    </w:rPr>
                    <w:t>环境日常监视测量记录显示的固体分类收集符合性</w:t>
                  </w:r>
                </w:p>
              </w:tc>
              <w:tc>
                <w:tcPr>
                  <w:tcW w:w="421" w:type="dxa"/>
                  <w:noWrap w:val="0"/>
                  <w:vAlign w:val="top"/>
                </w:tcPr>
                <w:p>
                  <w:pPr>
                    <w:tabs>
                      <w:tab w:val="left" w:pos="5620"/>
                    </w:tabs>
                    <w:jc w:val="left"/>
                    <w:outlineLvl w:val="0"/>
                    <w:rPr>
                      <w:rFonts w:ascii="Arial" w:hAnsi="Arial" w:cs="Arial"/>
                      <w:szCs w:val="21"/>
                    </w:rPr>
                  </w:pPr>
                  <w:r>
                    <w:rPr>
                      <w:rFonts w:ascii="Arial" w:hAnsi="宋体" w:cs="Arial"/>
                      <w:szCs w:val="21"/>
                    </w:rPr>
                    <w:t>半年</w:t>
                  </w:r>
                </w:p>
              </w:tc>
              <w:tc>
                <w:tcPr>
                  <w:tcW w:w="2699" w:type="dxa"/>
                  <w:noWrap w:val="0"/>
                  <w:vAlign w:val="top"/>
                </w:tcPr>
                <w:p>
                  <w:pPr>
                    <w:rPr>
                      <w:rFonts w:hint="eastAsia" w:ascii="Arial" w:hAnsi="宋体" w:cs="Arial"/>
                      <w:szCs w:val="21"/>
                    </w:rPr>
                  </w:pPr>
                  <w:r>
                    <w:rPr>
                      <w:rFonts w:hint="eastAsia" w:ascii="Arial" w:hAnsi="宋体" w:cs="Arial"/>
                      <w:szCs w:val="21"/>
                      <w:lang w:val="en-US" w:eastAsia="zh-CN"/>
                    </w:rPr>
                    <w:t>1.</w:t>
                  </w:r>
                  <w:r>
                    <w:rPr>
                      <w:rFonts w:hint="eastAsia" w:ascii="Arial" w:hAnsi="宋体" w:cs="Arial"/>
                      <w:szCs w:val="21"/>
                      <w:lang w:eastAsia="zh-CN"/>
                    </w:rPr>
                    <w:t>技术服务合格率</w:t>
                  </w:r>
                  <w:r>
                    <w:rPr>
                      <w:rFonts w:hint="eastAsia" w:ascii="Arial" w:hAnsi="宋体" w:cs="Arial"/>
                      <w:szCs w:val="21"/>
                      <w:lang w:val="en-US" w:eastAsia="zh-CN"/>
                    </w:rPr>
                    <w:t>100%</w:t>
                  </w:r>
                  <w:r>
                    <w:rPr>
                      <w:rFonts w:hint="eastAsia" w:ascii="Arial" w:hAnsi="宋体" w:cs="Arial"/>
                      <w:szCs w:val="21"/>
                      <w:lang w:eastAsia="zh-CN"/>
                    </w:rPr>
                    <w:t>；</w:t>
                  </w:r>
                </w:p>
                <w:p>
                  <w:pPr>
                    <w:rPr>
                      <w:rFonts w:hint="eastAsia" w:ascii="Arial" w:hAnsi="宋体" w:cs="Arial"/>
                      <w:szCs w:val="21"/>
                    </w:rPr>
                  </w:pPr>
                  <w:r>
                    <w:rPr>
                      <w:rFonts w:hint="eastAsia" w:ascii="Arial" w:hAnsi="宋体" w:cs="Arial"/>
                      <w:szCs w:val="21"/>
                      <w:lang w:val="en-US" w:eastAsia="zh-CN"/>
                    </w:rPr>
                    <w:t>2</w:t>
                  </w:r>
                  <w:r>
                    <w:rPr>
                      <w:rFonts w:hint="eastAsia" w:ascii="Arial" w:hAnsi="宋体" w:cs="Arial"/>
                      <w:szCs w:val="21"/>
                    </w:rPr>
                    <w:t>.固体废弃物（含危废）有效处置率9</w:t>
                  </w:r>
                  <w:r>
                    <w:rPr>
                      <w:rFonts w:hint="eastAsia" w:ascii="Arial" w:hAnsi="宋体" w:cs="Arial"/>
                      <w:szCs w:val="21"/>
                      <w:lang w:val="en-US" w:eastAsia="zh-CN"/>
                    </w:rPr>
                    <w:t>8</w:t>
                  </w:r>
                  <w:r>
                    <w:rPr>
                      <w:rFonts w:hint="eastAsia" w:ascii="Arial" w:hAnsi="宋体" w:cs="Arial"/>
                      <w:szCs w:val="21"/>
                    </w:rPr>
                    <w:t>%</w:t>
                  </w:r>
                </w:p>
                <w:p>
                  <w:pPr>
                    <w:rPr>
                      <w:rFonts w:ascii="Arial" w:hAnsi="Arial" w:cs="Arial"/>
                      <w:szCs w:val="21"/>
                    </w:rPr>
                  </w:pPr>
                </w:p>
              </w:tc>
              <w:tc>
                <w:tcPr>
                  <w:tcW w:w="732" w:type="dxa"/>
                  <w:noWrap w:val="0"/>
                  <w:vAlign w:val="top"/>
                </w:tcPr>
                <w:p>
                  <w:pPr>
                    <w:jc w:val="center"/>
                    <w:rPr>
                      <w:rFonts w:ascii="Arial" w:hAnsi="Arial" w:cs="Arial"/>
                      <w:sz w:val="24"/>
                    </w:rPr>
                  </w:pPr>
                  <w:r>
                    <w:rPr>
                      <w:rFonts w:ascii="Arial" w:hAnsi="宋体" w:cs="Arial"/>
                      <w:sz w:val="24"/>
                    </w:rPr>
                    <w:t>合格</w:t>
                  </w:r>
                </w:p>
              </w:tc>
            </w:tr>
          </w:tbl>
          <w:p>
            <w:pPr>
              <w:pStyle w:val="20"/>
              <w:numPr>
                <w:ilvl w:val="0"/>
                <w:numId w:val="0"/>
              </w:numPr>
              <w:snapToGrid w:val="0"/>
              <w:spacing w:line="360" w:lineRule="auto"/>
              <w:ind w:leftChars="0" w:firstLine="210" w:firstLineChars="100"/>
              <w:jc w:val="both"/>
              <w:rPr>
                <w:rFonts w:ascii="楷体" w:hAnsi="楷体" w:eastAsia="楷体" w:cs="楷体"/>
                <w:sz w:val="24"/>
                <w:szCs w:val="24"/>
              </w:rPr>
            </w:pPr>
            <w:r>
              <w:rPr>
                <w:rFonts w:hint="eastAsia" w:ascii="宋体" w:hAnsi="宋体" w:eastAsia="宋体" w:cs="宋体"/>
                <w:sz w:val="21"/>
                <w:szCs w:val="21"/>
              </w:rPr>
              <w:t>201</w:t>
            </w:r>
            <w:r>
              <w:rPr>
                <w:rFonts w:hint="eastAsia" w:ascii="宋体" w:hAnsi="宋体" w:cs="宋体"/>
                <w:sz w:val="21"/>
                <w:szCs w:val="21"/>
                <w:lang w:val="en-US" w:eastAsia="zh-CN"/>
              </w:rPr>
              <w:t>20.1.5</w:t>
            </w:r>
            <w:r>
              <w:rPr>
                <w:rFonts w:hint="eastAsia" w:ascii="宋体" w:hAnsi="宋体" w:eastAsia="宋体" w:cs="宋体"/>
                <w:sz w:val="21"/>
                <w:szCs w:val="21"/>
              </w:rPr>
              <w:t>考核情况：经查已完成。</w:t>
            </w:r>
          </w:p>
        </w:tc>
        <w:tc>
          <w:tcPr>
            <w:tcW w:w="1352" w:type="dxa"/>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0" w:hRule="atLeast"/>
        </w:trPr>
        <w:tc>
          <w:tcPr>
            <w:tcW w:w="1809" w:type="dxa"/>
            <w:vAlign w:val="center"/>
          </w:tcPr>
          <w:p>
            <w:pPr>
              <w:rPr>
                <w:rFonts w:hint="default" w:ascii="楷体" w:hAnsi="楷体" w:eastAsia="楷体"/>
                <w:sz w:val="24"/>
                <w:szCs w:val="24"/>
                <w:lang w:val="en-US" w:eastAsia="zh-CN"/>
              </w:rPr>
            </w:pPr>
            <w:r>
              <w:rPr>
                <w:rFonts w:hint="eastAsia" w:ascii="楷体" w:hAnsi="楷体" w:eastAsia="楷体"/>
                <w:sz w:val="24"/>
                <w:szCs w:val="24"/>
              </w:rPr>
              <w:t>基础设施</w:t>
            </w:r>
            <w:r>
              <w:rPr>
                <w:rFonts w:hint="eastAsia" w:ascii="楷体" w:hAnsi="楷体" w:eastAsia="楷体"/>
                <w:sz w:val="24"/>
                <w:szCs w:val="24"/>
                <w:lang w:eastAsia="zh-CN"/>
              </w:rPr>
              <w:t>、</w:t>
            </w:r>
            <w:r>
              <w:rPr>
                <w:rFonts w:hint="eastAsia" w:ascii="楷体" w:hAnsi="楷体" w:eastAsia="楷体"/>
                <w:sz w:val="24"/>
                <w:szCs w:val="24"/>
                <w:lang w:val="en-US" w:eastAsia="zh-CN"/>
              </w:rPr>
              <w:t>监视和测量资源</w:t>
            </w:r>
          </w:p>
        </w:tc>
        <w:tc>
          <w:tcPr>
            <w:tcW w:w="1311" w:type="dxa"/>
          </w:tcPr>
          <w:p>
            <w:pPr>
              <w:spacing w:line="360" w:lineRule="auto"/>
              <w:rPr>
                <w:rFonts w:hint="eastAsia"/>
              </w:rPr>
            </w:pPr>
          </w:p>
          <w:p>
            <w:pPr>
              <w:spacing w:line="360" w:lineRule="auto"/>
              <w:rPr>
                <w:rFonts w:hint="eastAsia"/>
              </w:rPr>
            </w:pPr>
          </w:p>
          <w:p>
            <w:pPr>
              <w:pStyle w:val="2"/>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ind w:left="0" w:leftChars="0" w:firstLine="0" w:firstLineChars="0"/>
              <w:rPr>
                <w:rFonts w:hint="eastAsia"/>
              </w:rPr>
            </w:pPr>
          </w:p>
          <w:p>
            <w:pPr>
              <w:pStyle w:val="3"/>
              <w:rPr>
                <w:rFonts w:hint="eastAsia"/>
              </w:rPr>
            </w:pPr>
          </w:p>
          <w:p>
            <w:pPr>
              <w:rPr>
                <w:rFonts w:hint="eastAsia" w:ascii="楷体" w:hAnsi="楷体" w:eastAsia="楷体" w:cs="宋体"/>
                <w:color w:val="000000"/>
                <w:kern w:val="0"/>
                <w:sz w:val="24"/>
                <w:szCs w:val="24"/>
              </w:rPr>
            </w:pPr>
            <w:r>
              <w:rPr>
                <w:rFonts w:hint="eastAsia" w:ascii="楷体" w:hAnsi="楷体" w:eastAsia="楷体" w:cs="宋体"/>
                <w:color w:val="000000"/>
                <w:kern w:val="0"/>
                <w:sz w:val="24"/>
                <w:szCs w:val="24"/>
              </w:rPr>
              <w:t xml:space="preserve">Q7.1.3 </w:t>
            </w:r>
          </w:p>
          <w:p>
            <w:pPr>
              <w:rPr>
                <w:rFonts w:hint="default" w:ascii="楷体" w:hAnsi="楷体" w:eastAsia="楷体" w:cs="宋体"/>
                <w:color w:val="000000"/>
                <w:kern w:val="0"/>
                <w:sz w:val="24"/>
                <w:szCs w:val="24"/>
                <w:lang w:val="en-US" w:eastAsia="zh-CN"/>
              </w:rPr>
            </w:pPr>
            <w:r>
              <w:rPr>
                <w:rFonts w:hint="eastAsia" w:ascii="楷体" w:hAnsi="楷体" w:eastAsia="楷体" w:cs="宋体"/>
                <w:color w:val="000000"/>
                <w:kern w:val="0"/>
                <w:sz w:val="24"/>
                <w:szCs w:val="24"/>
                <w:lang w:val="en-US" w:eastAsia="zh-CN"/>
              </w:rPr>
              <w:t>7.1.5</w:t>
            </w:r>
          </w:p>
          <w:p>
            <w:pPr>
              <w:pStyle w:val="2"/>
            </w:pPr>
          </w:p>
        </w:tc>
        <w:tc>
          <w:tcPr>
            <w:tcW w:w="10237" w:type="dxa"/>
          </w:tcPr>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在质量手册中对基础设施的维护进行了规定，查见了《电脑管理制度》</w:t>
            </w:r>
            <w:r>
              <w:rPr>
                <w:rFonts w:hint="eastAsia" w:ascii="宋体" w:hAnsi="宋体" w:cs="宋体"/>
                <w:sz w:val="21"/>
                <w:szCs w:val="21"/>
                <w:lang w:val="en-US" w:eastAsia="zh-CN"/>
              </w:rPr>
              <w:t>、《理化实验室仪器设备管理制度》等</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现场审核基础设施主要包括：</w:t>
            </w:r>
          </w:p>
          <w:p>
            <w:pPr>
              <w:spacing w:line="360" w:lineRule="auto"/>
              <w:jc w:val="left"/>
              <w:rPr>
                <w:rFonts w:ascii="宋体" w:hAnsi="宋体"/>
                <w:szCs w:val="21"/>
              </w:rPr>
            </w:pPr>
            <w:r>
              <w:rPr>
                <w:rFonts w:hint="eastAsia" w:ascii="宋体" w:hAnsi="宋体" w:eastAsia="宋体" w:cs="宋体"/>
                <w:sz w:val="21"/>
                <w:szCs w:val="21"/>
                <w:lang w:val="en-US" w:eastAsia="zh-CN"/>
              </w:rPr>
              <w:t>建筑物、工作场所：</w:t>
            </w:r>
            <w:bookmarkStart w:id="0" w:name="注册地址"/>
            <w:r>
              <w:t>重庆市合川区南津街道岩渠路68号</w:t>
            </w:r>
            <w:bookmarkEnd w:id="0"/>
          </w:p>
          <w:p>
            <w:pPr>
              <w:numPr>
                <w:ilvl w:val="0"/>
                <w:numId w:val="2"/>
              </w:numPr>
              <w:spacing w:line="360" w:lineRule="auto"/>
              <w:rPr>
                <w:rFonts w:hint="eastAsia"/>
                <w:lang w:val="en-US" w:eastAsia="zh-CN"/>
              </w:rPr>
            </w:pPr>
            <w:r>
              <w:rPr>
                <w:rFonts w:hint="eastAsia" w:ascii="宋体" w:hAnsi="宋体" w:eastAsia="宋体" w:cs="宋体"/>
                <w:sz w:val="21"/>
                <w:szCs w:val="21"/>
                <w:lang w:val="en-US" w:eastAsia="zh-CN"/>
              </w:rPr>
              <w:t>是租赁</w:t>
            </w:r>
            <w:r>
              <w:rPr>
                <w:rFonts w:hint="eastAsia" w:ascii="宋体" w:hAnsi="宋体" w:cs="宋体"/>
                <w:sz w:val="21"/>
                <w:szCs w:val="21"/>
                <w:lang w:val="en-US" w:eastAsia="zh-CN"/>
              </w:rPr>
              <w:t>重庆西美仪器仪表有限公司</w:t>
            </w:r>
            <w:r>
              <w:rPr>
                <w:rFonts w:hint="eastAsia" w:ascii="宋体" w:hAnsi="宋体" w:eastAsia="宋体" w:cs="宋体"/>
                <w:sz w:val="21"/>
                <w:szCs w:val="21"/>
                <w:lang w:val="en-US" w:eastAsia="zh-CN"/>
              </w:rPr>
              <w:t>，面积</w:t>
            </w:r>
            <w:r>
              <w:rPr>
                <w:rFonts w:hint="eastAsia" w:ascii="宋体" w:hAnsi="宋体" w:cs="宋体"/>
                <w:sz w:val="21"/>
                <w:szCs w:val="21"/>
                <w:lang w:val="en-US" w:eastAsia="zh-CN"/>
              </w:rPr>
              <w:t>1500</w:t>
            </w:r>
            <w:r>
              <w:rPr>
                <w:rFonts w:hint="eastAsia" w:ascii="宋体" w:hAnsi="宋体" w:eastAsia="宋体" w:cs="宋体"/>
                <w:sz w:val="21"/>
                <w:szCs w:val="21"/>
                <w:lang w:val="en-US" w:eastAsia="zh-CN"/>
              </w:rPr>
              <w:t>平方米，3楼</w:t>
            </w:r>
            <w:r>
              <w:rPr>
                <w:rFonts w:hint="eastAsia" w:ascii="宋体" w:hAnsi="宋体" w:cs="宋体"/>
                <w:sz w:val="21"/>
                <w:szCs w:val="21"/>
                <w:lang w:val="en-US" w:eastAsia="zh-CN"/>
              </w:rPr>
              <w:t>未库房（200平米）</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 xml:space="preserve">另外租赁3间寝室。   </w:t>
            </w:r>
          </w:p>
          <w:p>
            <w:pPr>
              <w:spacing w:line="360" w:lineRule="auto"/>
              <w:rPr>
                <w:rFonts w:hint="eastAsia"/>
                <w:lang w:val="en-US" w:eastAsia="zh-CN"/>
              </w:rPr>
            </w:pPr>
            <w:r>
              <w:rPr>
                <w:rFonts w:hint="eastAsia" w:ascii="宋体" w:hAnsi="宋体" w:eastAsia="宋体" w:cs="宋体"/>
                <w:sz w:val="21"/>
                <w:szCs w:val="21"/>
                <w:lang w:val="en-US" w:eastAsia="zh-CN"/>
              </w:rPr>
              <w:t>2)办公设备：公司根据的需要，配备了行政办公用房及通讯、信息系统等基础设施， 并配备有办公桌椅，水电、空调、会议室、消防设施设备，并有电脑、打印机、电话、传真机、复印机等办公设备；满足办公需要。</w:t>
            </w:r>
          </w:p>
          <w:p>
            <w:pPr>
              <w:spacing w:line="360" w:lineRule="auto"/>
              <w:rPr>
                <w:rFonts w:hint="eastAsia" w:ascii="宋体" w:hAnsi="宋体" w:eastAsia="宋体" w:cs="宋体"/>
                <w:bCs/>
                <w:sz w:val="21"/>
                <w:szCs w:val="21"/>
              </w:rPr>
            </w:pPr>
            <w:r>
              <w:rPr>
                <w:rFonts w:hint="eastAsia" w:ascii="宋体" w:hAnsi="宋体" w:cs="宋体"/>
                <w:bCs/>
                <w:sz w:val="21"/>
                <w:szCs w:val="21"/>
                <w:lang w:val="en-US" w:eastAsia="zh-CN"/>
              </w:rPr>
              <w:t>3</w:t>
            </w:r>
            <w:r>
              <w:rPr>
                <w:rFonts w:hint="eastAsia" w:ascii="宋体" w:hAnsi="宋体" w:eastAsia="宋体" w:cs="宋体"/>
                <w:bCs/>
                <w:sz w:val="21"/>
                <w:szCs w:val="21"/>
                <w:lang w:val="en-US" w:eastAsia="zh-CN"/>
              </w:rPr>
              <w:t>）</w:t>
            </w:r>
            <w:r>
              <w:rPr>
                <w:rFonts w:hint="eastAsia" w:ascii="宋体" w:hAnsi="宋体" w:eastAsia="宋体" w:cs="宋体"/>
                <w:bCs/>
                <w:sz w:val="21"/>
                <w:szCs w:val="21"/>
              </w:rPr>
              <w:t>环保设施包括：</w:t>
            </w:r>
            <w:r>
              <w:rPr>
                <w:rFonts w:hint="eastAsia" w:ascii="宋体" w:hAnsi="宋体" w:eastAsia="宋体" w:cs="宋体"/>
                <w:bCs/>
                <w:sz w:val="21"/>
                <w:szCs w:val="21"/>
                <w:lang w:val="en-US" w:eastAsia="zh-CN"/>
              </w:rPr>
              <w:t>空气净化器、</w:t>
            </w:r>
            <w:r>
              <w:rPr>
                <w:rFonts w:hint="eastAsia" w:ascii="宋体" w:hAnsi="宋体" w:eastAsia="宋体" w:cs="宋体"/>
                <w:bCs/>
                <w:sz w:val="21"/>
                <w:szCs w:val="21"/>
              </w:rPr>
              <w:t>垃圾桶、消防设施；</w:t>
            </w:r>
          </w:p>
          <w:p>
            <w:pPr>
              <w:spacing w:line="360" w:lineRule="auto"/>
              <w:ind w:firstLine="210" w:firstLineChars="100"/>
              <w:rPr>
                <w:rFonts w:hint="eastAsia" w:ascii="宋体" w:hAnsi="宋体" w:eastAsia="宋体" w:cs="宋体"/>
                <w:bCs/>
                <w:sz w:val="21"/>
                <w:szCs w:val="21"/>
              </w:rPr>
            </w:pPr>
            <w:r>
              <w:rPr>
                <w:rFonts w:hint="eastAsia" w:ascii="宋体" w:hAnsi="宋体" w:eastAsia="宋体" w:cs="宋体"/>
                <w:bCs/>
                <w:sz w:val="21"/>
                <w:szCs w:val="21"/>
              </w:rPr>
              <w:t>安全设施配置主要有：标识牌、灭火器、消防器材等，</w:t>
            </w:r>
            <w:r>
              <w:rPr>
                <w:rFonts w:hint="eastAsia" w:ascii="宋体" w:hAnsi="宋体" w:eastAsia="宋体" w:cs="宋体"/>
                <w:bCs/>
                <w:sz w:val="21"/>
                <w:szCs w:val="21"/>
                <w:lang w:val="en-US" w:eastAsia="zh-CN"/>
              </w:rPr>
              <w:t>专业计量室</w:t>
            </w:r>
            <w:r>
              <w:rPr>
                <w:rFonts w:hint="eastAsia" w:ascii="宋体" w:hAnsi="宋体" w:eastAsia="宋体" w:cs="宋体"/>
                <w:bCs/>
                <w:sz w:val="21"/>
                <w:szCs w:val="21"/>
              </w:rPr>
              <w:t>定期维护与保养。</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bCs/>
                <w:sz w:val="21"/>
                <w:szCs w:val="21"/>
              </w:rPr>
              <w:t>见：依照计划进行设备设施的升级、维护、更换、配备，相关设施配备和管理比较完善。</w:t>
            </w:r>
          </w:p>
          <w:p>
            <w:pPr>
              <w:spacing w:line="360" w:lineRule="auto"/>
              <w:rPr>
                <w:rFonts w:hint="eastAsia" w:ascii="宋体" w:hAnsi="宋体" w:eastAsia="宋体" w:cs="宋体"/>
                <w:sz w:val="21"/>
                <w:szCs w:val="21"/>
              </w:rPr>
            </w:pPr>
            <w:r>
              <w:rPr>
                <w:rFonts w:hint="eastAsia" w:ascii="宋体" w:hAnsi="宋体" w:cs="宋体"/>
                <w:sz w:val="21"/>
                <w:szCs w:val="21"/>
                <w:lang w:val="en-US" w:eastAsia="zh-CN"/>
              </w:rPr>
              <w:t>4</w:t>
            </w:r>
            <w:r>
              <w:rPr>
                <w:rFonts w:hint="eastAsia" w:ascii="宋体" w:hAnsi="宋体" w:eastAsia="宋体" w:cs="宋体"/>
                <w:sz w:val="21"/>
                <w:szCs w:val="21"/>
              </w:rPr>
              <w:t>）查设备保养：负责人介绍了设备管理相关要求，提供了《</w:t>
            </w:r>
            <w:r>
              <w:rPr>
                <w:rFonts w:hint="eastAsia" w:ascii="宋体" w:hAnsi="宋体" w:eastAsia="宋体" w:cs="宋体"/>
                <w:sz w:val="21"/>
                <w:szCs w:val="21"/>
                <w:lang w:val="en-US" w:eastAsia="zh-CN"/>
              </w:rPr>
              <w:t>计量</w:t>
            </w:r>
            <w:r>
              <w:rPr>
                <w:rFonts w:hint="eastAsia" w:ascii="宋体" w:hAnsi="宋体" w:eastAsia="宋体" w:cs="宋体"/>
                <w:sz w:val="21"/>
                <w:szCs w:val="21"/>
              </w:rPr>
              <w:t>设施维护保养计划》，计划编制</w:t>
            </w:r>
            <w:r>
              <w:rPr>
                <w:rFonts w:hint="eastAsia" w:ascii="宋体" w:hAnsi="宋体" w:cs="宋体"/>
                <w:sz w:val="21"/>
                <w:szCs w:val="21"/>
                <w:lang w:eastAsia="zh-CN"/>
              </w:rPr>
              <w:t>行政部</w:t>
            </w:r>
            <w:r>
              <w:rPr>
                <w:rFonts w:hint="eastAsia" w:ascii="宋体" w:hAnsi="宋体" w:eastAsia="宋体" w:cs="宋体"/>
                <w:sz w:val="21"/>
                <w:szCs w:val="21"/>
              </w:rPr>
              <w:t>，批准：</w:t>
            </w:r>
            <w:r>
              <w:rPr>
                <w:rFonts w:hint="eastAsia" w:ascii="宋体" w:hAnsi="宋体" w:eastAsia="宋体" w:cs="宋体"/>
                <w:sz w:val="21"/>
                <w:szCs w:val="21"/>
                <w:lang w:val="en-US" w:eastAsia="zh-CN"/>
              </w:rPr>
              <w:t>周</w:t>
            </w:r>
            <w:r>
              <w:rPr>
                <w:rFonts w:hint="eastAsia" w:ascii="宋体" w:hAnsi="宋体" w:cs="宋体"/>
                <w:sz w:val="21"/>
                <w:szCs w:val="21"/>
                <w:lang w:val="en-US" w:eastAsia="zh-CN"/>
              </w:rPr>
              <w:t>洪勇</w:t>
            </w:r>
            <w:r>
              <w:rPr>
                <w:rFonts w:hint="eastAsia" w:ascii="宋体" w:hAnsi="宋体" w:eastAsia="宋体" w:cs="宋体"/>
                <w:sz w:val="21"/>
                <w:szCs w:val="21"/>
              </w:rPr>
              <w:t>，日期：20</w:t>
            </w:r>
            <w:r>
              <w:rPr>
                <w:rFonts w:hint="eastAsia" w:ascii="宋体" w:hAnsi="宋体" w:cs="宋体"/>
                <w:sz w:val="21"/>
                <w:szCs w:val="21"/>
                <w:lang w:val="en-US" w:eastAsia="zh-CN"/>
              </w:rPr>
              <w:t>20</w:t>
            </w:r>
            <w:r>
              <w:rPr>
                <w:rFonts w:hint="eastAsia" w:ascii="宋体" w:hAnsi="宋体" w:eastAsia="宋体" w:cs="宋体"/>
                <w:sz w:val="21"/>
                <w:szCs w:val="21"/>
              </w:rPr>
              <w:t xml:space="preserve">年 1月 </w:t>
            </w:r>
            <w:r>
              <w:rPr>
                <w:rFonts w:hint="eastAsia" w:ascii="宋体" w:hAnsi="宋体" w:cs="宋体"/>
                <w:sz w:val="21"/>
                <w:szCs w:val="21"/>
                <w:lang w:val="en-US" w:eastAsia="zh-CN"/>
              </w:rPr>
              <w:t>5</w:t>
            </w:r>
            <w:r>
              <w:rPr>
                <w:rFonts w:hint="eastAsia" w:ascii="宋体" w:hAnsi="宋体" w:eastAsia="宋体" w:cs="宋体"/>
                <w:sz w:val="21"/>
                <w:szCs w:val="21"/>
              </w:rPr>
              <w:t>日。</w:t>
            </w:r>
          </w:p>
          <w:p>
            <w:pPr>
              <w:spacing w:line="360" w:lineRule="auto"/>
              <w:rPr>
                <w:rFonts w:hint="eastAsia" w:ascii="宋体" w:hAnsi="宋体" w:cs="宋体"/>
                <w:sz w:val="21"/>
                <w:szCs w:val="21"/>
                <w:lang w:val="en-US" w:eastAsia="zh-CN"/>
              </w:rPr>
            </w:pPr>
            <w:r>
              <w:rPr>
                <w:rFonts w:hint="eastAsia" w:ascii="宋体" w:hAnsi="宋体" w:eastAsia="宋体" w:cs="宋体"/>
                <w:sz w:val="21"/>
                <w:szCs w:val="21"/>
              </w:rPr>
              <w:t>抽查</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20</w:t>
            </w:r>
            <w:r>
              <w:rPr>
                <w:rFonts w:hint="eastAsia" w:ascii="宋体" w:hAnsi="宋体" w:cs="宋体"/>
                <w:sz w:val="21"/>
                <w:szCs w:val="21"/>
                <w:lang w:val="en-US" w:eastAsia="zh-CN"/>
              </w:rPr>
              <w:t>20</w:t>
            </w:r>
            <w:r>
              <w:rPr>
                <w:rFonts w:hint="eastAsia" w:ascii="宋体" w:hAnsi="宋体" w:eastAsia="宋体" w:cs="宋体"/>
                <w:sz w:val="21"/>
                <w:szCs w:val="21"/>
                <w:lang w:val="en-US" w:eastAsia="zh-CN"/>
              </w:rPr>
              <w:t>年计量设备保养记录，均能按计划进行保养。</w:t>
            </w:r>
          </w:p>
          <w:p>
            <w:pPr>
              <w:spacing w:line="360" w:lineRule="auto"/>
              <w:rPr>
                <w:rFonts w:hint="eastAsia" w:ascii="宋体" w:hAnsi="宋体" w:eastAsia="宋体" w:cs="宋体"/>
                <w:sz w:val="21"/>
                <w:szCs w:val="21"/>
              </w:rPr>
            </w:pPr>
            <w:r>
              <w:rPr>
                <w:rFonts w:hint="eastAsia" w:ascii="宋体" w:hAnsi="宋体" w:cs="宋体"/>
                <w:sz w:val="21"/>
                <w:szCs w:val="21"/>
                <w:lang w:val="en-US" w:eastAsia="zh-CN"/>
              </w:rPr>
              <w:t>5</w:t>
            </w:r>
            <w:r>
              <w:rPr>
                <w:rFonts w:hint="eastAsia" w:ascii="宋体" w:hAnsi="宋体" w:eastAsia="宋体" w:cs="宋体"/>
                <w:sz w:val="21"/>
                <w:szCs w:val="21"/>
              </w:rPr>
              <w:t>）查特种设备： 经确认，目前无特种设备。</w:t>
            </w:r>
          </w:p>
          <w:p>
            <w:pPr>
              <w:spacing w:line="360" w:lineRule="auto"/>
              <w:ind w:left="420"/>
              <w:rPr>
                <w:rFonts w:ascii="楷体" w:hAnsi="楷体" w:eastAsia="楷体" w:cs="Arial"/>
                <w:sz w:val="24"/>
                <w:szCs w:val="24"/>
              </w:rPr>
            </w:pPr>
            <w:r>
              <w:rPr>
                <w:rFonts w:hint="eastAsia" w:ascii="宋体" w:hAnsi="宋体" w:eastAsia="宋体" w:cs="宋体"/>
                <w:sz w:val="21"/>
                <w:szCs w:val="21"/>
              </w:rPr>
              <w:t>基础设施管理基本可以满足公司目前体系运行的需要。</w:t>
            </w:r>
          </w:p>
        </w:tc>
        <w:tc>
          <w:tcPr>
            <w:tcW w:w="1352" w:type="dxa"/>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trPr>
        <w:tc>
          <w:tcPr>
            <w:tcW w:w="1809" w:type="dxa"/>
            <w:vMerge w:val="restart"/>
            <w:vAlign w:val="center"/>
          </w:tcPr>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宋体" w:hAnsi="宋体" w:eastAsia="宋体"/>
                <w:szCs w:val="21"/>
                <w:lang w:eastAsia="zh-CN"/>
              </w:rPr>
            </w:pPr>
            <w:r>
              <w:rPr>
                <w:rFonts w:hint="eastAsia" w:ascii="楷体" w:hAnsi="楷体" w:eastAsia="楷体"/>
                <w:sz w:val="24"/>
                <w:szCs w:val="24"/>
              </w:rPr>
              <w:t>过程运行环境</w:t>
            </w:r>
          </w:p>
          <w:p>
            <w:pPr>
              <w:tabs>
                <w:tab w:val="center" w:pos="3169"/>
              </w:tabs>
              <w:spacing w:line="400" w:lineRule="exact"/>
              <w:jc w:val="left"/>
              <w:rPr>
                <w:rFonts w:hint="eastAsia" w:ascii="Times New Roman" w:hAnsi="Times New Roman" w:eastAsia="宋体" w:cs="Times New Roman"/>
                <w:color w:val="000000" w:themeColor="text1"/>
                <w:kern w:val="2"/>
                <w:sz w:val="21"/>
                <w:szCs w:val="21"/>
                <w:lang w:val="en-US" w:eastAsia="zh-CN" w:bidi="ar-SA"/>
              </w:rPr>
            </w:pPr>
          </w:p>
        </w:tc>
        <w:tc>
          <w:tcPr>
            <w:tcW w:w="1311" w:type="dxa"/>
            <w:vMerge w:val="restart"/>
          </w:tcPr>
          <w:p>
            <w:pPr>
              <w:spacing w:line="360" w:lineRule="auto"/>
              <w:rPr>
                <w:rFonts w:hint="eastAsia" w:ascii="楷体" w:hAnsi="楷体" w:eastAsia="楷体"/>
                <w:sz w:val="24"/>
                <w:szCs w:val="24"/>
              </w:rPr>
            </w:pPr>
          </w:p>
          <w:p>
            <w:pPr>
              <w:spacing w:line="360" w:lineRule="auto"/>
              <w:rPr>
                <w:rFonts w:hint="eastAsia" w:ascii="楷体" w:hAnsi="楷体" w:eastAsia="楷体"/>
                <w:sz w:val="24"/>
                <w:szCs w:val="24"/>
              </w:rPr>
            </w:pPr>
          </w:p>
          <w:p>
            <w:pPr>
              <w:spacing w:line="360" w:lineRule="auto"/>
              <w:ind w:firstLine="240" w:firstLineChars="100"/>
              <w:rPr>
                <w:rFonts w:hint="eastAsia" w:ascii="宋体" w:hAnsi="宋体" w:eastAsia="宋体" w:cs="Arial"/>
                <w:kern w:val="2"/>
                <w:sz w:val="21"/>
                <w:szCs w:val="21"/>
                <w:lang w:val="en-US" w:eastAsia="zh-CN" w:bidi="ar-SA"/>
              </w:rPr>
            </w:pPr>
            <w:r>
              <w:rPr>
                <w:rFonts w:hint="eastAsia" w:ascii="楷体" w:hAnsi="楷体" w:eastAsia="楷体"/>
                <w:sz w:val="24"/>
                <w:szCs w:val="24"/>
              </w:rPr>
              <w:t>Q</w:t>
            </w:r>
            <w:r>
              <w:rPr>
                <w:rFonts w:ascii="楷体" w:hAnsi="楷体" w:eastAsia="楷体"/>
                <w:sz w:val="24"/>
                <w:szCs w:val="24"/>
              </w:rPr>
              <w:t>7.1.</w:t>
            </w:r>
            <w:r>
              <w:rPr>
                <w:rFonts w:hint="eastAsia" w:ascii="楷体" w:hAnsi="楷体" w:eastAsia="楷体" w:cs="Arial"/>
                <w:sz w:val="24"/>
                <w:szCs w:val="24"/>
                <w:lang w:val="en-US" w:eastAsia="zh-CN"/>
              </w:rPr>
              <w:t>4</w:t>
            </w:r>
          </w:p>
        </w:tc>
        <w:tc>
          <w:tcPr>
            <w:tcW w:w="10237" w:type="dxa"/>
            <w:vMerge w:val="restart"/>
          </w:tcPr>
          <w:p>
            <w:pPr>
              <w:spacing w:line="360" w:lineRule="auto"/>
              <w:rPr>
                <w:rFonts w:hint="eastAsia"/>
              </w:rPr>
            </w:pPr>
            <w:r>
              <w:rPr>
                <w:rFonts w:hint="eastAsia"/>
                <w:lang w:val="en-US" w:eastAsia="zh-CN"/>
              </w:rPr>
              <w:t>1）设备检测的技术管理、</w:t>
            </w:r>
            <w:r>
              <w:rPr>
                <w:rFonts w:hint="eastAsia"/>
              </w:rPr>
              <w:t>研发和办公过程对环境要求一般，无特殊要求，办公室环境卫生较好。</w:t>
            </w:r>
          </w:p>
          <w:p>
            <w:pPr>
              <w:spacing w:line="360" w:lineRule="auto"/>
              <w:rPr>
                <w:rFonts w:hint="eastAsia"/>
              </w:rPr>
            </w:pPr>
            <w:r>
              <w:rPr>
                <w:rFonts w:hint="eastAsia"/>
                <w:lang w:val="en-US" w:eastAsia="zh-CN"/>
              </w:rPr>
              <w:t>视频</w:t>
            </w:r>
            <w:r>
              <w:rPr>
                <w:rFonts w:hint="eastAsia"/>
              </w:rPr>
              <w:t>巡视：办公环境光照、温度适宜，通风良好，电路布线合理、电气插座完整，未见破损，办公场所物品摆放整齐、有序，未见随意乱放私人物品的情况，未见用电不当等安全隐患及不良影响现象。</w:t>
            </w:r>
          </w:p>
          <w:p>
            <w:pPr>
              <w:spacing w:line="360" w:lineRule="auto"/>
              <w:rPr>
                <w:rFonts w:hint="eastAsia"/>
              </w:rPr>
            </w:pPr>
            <w:r>
              <w:rPr>
                <w:rFonts w:hint="eastAsia"/>
                <w:lang w:val="en-US" w:eastAsia="zh-CN"/>
              </w:rPr>
              <w:t>2）检测</w:t>
            </w:r>
            <w:r>
              <w:rPr>
                <w:rFonts w:hint="eastAsia"/>
              </w:rPr>
              <w:t>过程对环境要求</w:t>
            </w:r>
            <w:r>
              <w:rPr>
                <w:rFonts w:hint="eastAsia"/>
                <w:lang w:val="en-US" w:eastAsia="zh-CN"/>
              </w:rPr>
              <w:t>有要求</w:t>
            </w:r>
            <w:r>
              <w:rPr>
                <w:rFonts w:hint="eastAsia"/>
              </w:rPr>
              <w:t>，</w:t>
            </w:r>
            <w:r>
              <w:rPr>
                <w:rFonts w:hint="eastAsia"/>
                <w:lang w:val="en-US" w:eastAsia="zh-CN"/>
              </w:rPr>
              <w:t>采用空调控制温度，</w:t>
            </w:r>
            <w:r>
              <w:rPr>
                <w:rFonts w:hint="eastAsia"/>
              </w:rPr>
              <w:t>企业确定并提供了</w:t>
            </w:r>
            <w:r>
              <w:rPr>
                <w:rFonts w:hint="eastAsia"/>
                <w:lang w:val="en-US" w:eastAsia="zh-CN"/>
              </w:rPr>
              <w:t>检测</w:t>
            </w:r>
            <w:r>
              <w:rPr>
                <w:rFonts w:hint="eastAsia"/>
              </w:rPr>
              <w:t>要求所需的工作环境，工作环境适宜，</w:t>
            </w:r>
            <w:r>
              <w:rPr>
                <w:rFonts w:hint="eastAsia"/>
                <w:lang w:val="en-US" w:eastAsia="zh-CN"/>
              </w:rPr>
              <w:t>对环境温度、湿度进行监控</w:t>
            </w:r>
            <w:r>
              <w:rPr>
                <w:rFonts w:hint="eastAsia"/>
              </w:rPr>
              <w:t>现有工作环境能满足</w:t>
            </w:r>
            <w:r>
              <w:rPr>
                <w:rFonts w:hint="eastAsia"/>
                <w:lang w:val="en-US" w:eastAsia="zh-CN"/>
              </w:rPr>
              <w:t>检测</w:t>
            </w:r>
            <w:r>
              <w:rPr>
                <w:rFonts w:hint="eastAsia"/>
              </w:rPr>
              <w:t>的需要。</w:t>
            </w:r>
          </w:p>
          <w:p>
            <w:pPr>
              <w:pStyle w:val="3"/>
              <w:ind w:left="0" w:leftChars="0" w:firstLine="0" w:firstLineChars="0"/>
              <w:rPr>
                <w:rFonts w:hint="eastAsia" w:ascii="宋体" w:hAnsi="宋体" w:eastAsia="宋体" w:cs="Times New Roman"/>
                <w:kern w:val="2"/>
                <w:sz w:val="21"/>
                <w:szCs w:val="21"/>
                <w:lang w:val="en-US" w:eastAsia="zh-CN" w:bidi="ar-SA"/>
              </w:rPr>
            </w:pPr>
          </w:p>
        </w:tc>
        <w:tc>
          <w:tcPr>
            <w:tcW w:w="1352" w:type="dxa"/>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809" w:type="dxa"/>
            <w:vMerge w:val="continue"/>
            <w:vAlign w:val="top"/>
          </w:tcPr>
          <w:p>
            <w:pPr>
              <w:tabs>
                <w:tab w:val="center" w:pos="3169"/>
              </w:tabs>
              <w:spacing w:line="400" w:lineRule="exact"/>
              <w:jc w:val="left"/>
              <w:rPr>
                <w:rFonts w:hint="eastAsia" w:ascii="Times New Roman" w:hAnsi="Times New Roman" w:eastAsia="宋体" w:cs="Times New Roman"/>
                <w:color w:val="000000" w:themeColor="text1"/>
                <w:kern w:val="2"/>
                <w:sz w:val="21"/>
                <w:szCs w:val="21"/>
                <w:lang w:val="en-US" w:eastAsia="zh-CN" w:bidi="ar-SA"/>
              </w:rPr>
            </w:pPr>
          </w:p>
        </w:tc>
        <w:tc>
          <w:tcPr>
            <w:tcW w:w="1311" w:type="dxa"/>
            <w:vMerge w:val="continue"/>
            <w:vAlign w:val="top"/>
          </w:tcPr>
          <w:p>
            <w:pPr>
              <w:spacing w:line="360" w:lineRule="auto"/>
              <w:rPr>
                <w:rFonts w:hint="eastAsia" w:ascii="宋体" w:hAnsi="宋体" w:eastAsia="宋体" w:cs="Arial"/>
                <w:kern w:val="2"/>
                <w:sz w:val="21"/>
                <w:szCs w:val="21"/>
                <w:lang w:val="en-US" w:eastAsia="zh-CN" w:bidi="ar-SA"/>
              </w:rPr>
            </w:pPr>
          </w:p>
        </w:tc>
        <w:tc>
          <w:tcPr>
            <w:tcW w:w="10237" w:type="dxa"/>
            <w:vMerge w:val="continue"/>
            <w:vAlign w:val="top"/>
          </w:tcPr>
          <w:p>
            <w:pPr>
              <w:pStyle w:val="3"/>
              <w:ind w:left="0" w:leftChars="0" w:firstLine="0" w:firstLineChars="0"/>
              <w:rPr>
                <w:rFonts w:hint="eastAsia" w:ascii="宋体" w:hAnsi="宋体" w:eastAsia="宋体" w:cs="Times New Roman"/>
                <w:kern w:val="2"/>
                <w:sz w:val="21"/>
                <w:szCs w:val="21"/>
                <w:lang w:val="en-US" w:eastAsia="zh-CN" w:bidi="ar-SA"/>
              </w:rPr>
            </w:pPr>
          </w:p>
        </w:tc>
        <w:tc>
          <w:tcPr>
            <w:tcW w:w="1352" w:type="dxa"/>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dxa"/>
          </w:tcPr>
          <w:p>
            <w:pPr>
              <w:spacing w:line="360" w:lineRule="auto"/>
              <w:rPr>
                <w:rFonts w:hint="eastAsia" w:ascii="楷体" w:hAnsi="楷体" w:eastAsia="楷体" w:cs="Arial"/>
                <w:bCs/>
                <w:sz w:val="24"/>
                <w:szCs w:val="24"/>
              </w:rPr>
            </w:pPr>
          </w:p>
          <w:p>
            <w:pPr>
              <w:spacing w:line="360" w:lineRule="auto"/>
              <w:rPr>
                <w:rFonts w:hint="eastAsia" w:ascii="楷体" w:hAnsi="楷体" w:eastAsia="楷体" w:cs="Arial"/>
                <w:bCs/>
                <w:sz w:val="24"/>
                <w:szCs w:val="24"/>
              </w:rPr>
            </w:pPr>
          </w:p>
          <w:p>
            <w:pPr>
              <w:spacing w:line="360" w:lineRule="auto"/>
              <w:rPr>
                <w:rFonts w:hint="eastAsia" w:ascii="楷体" w:hAnsi="楷体" w:eastAsia="楷体" w:cs="Arial"/>
                <w:bCs/>
                <w:sz w:val="24"/>
                <w:szCs w:val="24"/>
              </w:rPr>
            </w:pPr>
          </w:p>
          <w:p>
            <w:pPr>
              <w:spacing w:line="360" w:lineRule="auto"/>
              <w:rPr>
                <w:rFonts w:ascii="楷体" w:hAnsi="楷体" w:eastAsia="楷体" w:cs="Arial"/>
                <w:bCs/>
                <w:sz w:val="24"/>
                <w:szCs w:val="24"/>
              </w:rPr>
            </w:pPr>
            <w:r>
              <w:rPr>
                <w:rFonts w:hint="eastAsia" w:ascii="楷体" w:hAnsi="楷体" w:eastAsia="楷体" w:cs="Arial"/>
                <w:bCs/>
                <w:sz w:val="24"/>
                <w:szCs w:val="24"/>
              </w:rPr>
              <w:t>运行的策划和控制</w:t>
            </w:r>
          </w:p>
          <w:p>
            <w:pPr>
              <w:spacing w:line="360" w:lineRule="auto"/>
              <w:rPr>
                <w:rFonts w:ascii="楷体" w:hAnsi="楷体" w:eastAsia="楷体" w:cs="Arial"/>
                <w:bCs/>
                <w:sz w:val="24"/>
                <w:szCs w:val="24"/>
              </w:rPr>
            </w:pPr>
          </w:p>
        </w:tc>
        <w:tc>
          <w:tcPr>
            <w:tcW w:w="1311" w:type="dxa"/>
          </w:tcPr>
          <w:p>
            <w:pPr>
              <w:spacing w:line="360" w:lineRule="auto"/>
              <w:rPr>
                <w:rFonts w:hint="eastAsia" w:ascii="楷体" w:hAnsi="楷体" w:eastAsia="楷体" w:cs="Arial"/>
                <w:sz w:val="24"/>
                <w:szCs w:val="24"/>
              </w:rPr>
            </w:pPr>
          </w:p>
          <w:p>
            <w:pPr>
              <w:spacing w:line="360" w:lineRule="auto"/>
              <w:rPr>
                <w:rFonts w:hint="eastAsia" w:ascii="楷体" w:hAnsi="楷体" w:eastAsia="楷体" w:cs="Arial"/>
                <w:sz w:val="24"/>
                <w:szCs w:val="24"/>
              </w:rPr>
            </w:pPr>
          </w:p>
          <w:p>
            <w:pPr>
              <w:spacing w:line="360" w:lineRule="auto"/>
              <w:rPr>
                <w:rFonts w:hint="eastAsia" w:ascii="楷体" w:hAnsi="楷体" w:eastAsia="楷体" w:cs="Arial"/>
                <w:sz w:val="24"/>
                <w:szCs w:val="24"/>
              </w:rPr>
            </w:pPr>
          </w:p>
          <w:p>
            <w:pPr>
              <w:spacing w:line="360" w:lineRule="auto"/>
              <w:rPr>
                <w:rFonts w:ascii="楷体" w:hAnsi="楷体" w:eastAsia="楷体" w:cs="Arial"/>
                <w:sz w:val="24"/>
                <w:szCs w:val="24"/>
              </w:rPr>
            </w:pPr>
            <w:r>
              <w:rPr>
                <w:rFonts w:hint="eastAsia" w:ascii="楷体" w:hAnsi="楷体" w:eastAsia="楷体"/>
                <w:sz w:val="24"/>
                <w:szCs w:val="24"/>
              </w:rPr>
              <w:t>Q</w:t>
            </w:r>
            <w:r>
              <w:rPr>
                <w:rFonts w:hint="eastAsia" w:ascii="楷体" w:hAnsi="楷体" w:eastAsia="楷体"/>
                <w:sz w:val="24"/>
                <w:szCs w:val="24"/>
                <w:lang w:val="en-US" w:eastAsia="zh-CN"/>
              </w:rPr>
              <w:t>;</w:t>
            </w:r>
            <w:r>
              <w:rPr>
                <w:rFonts w:hint="eastAsia" w:ascii="楷体" w:hAnsi="楷体" w:eastAsia="楷体" w:cs="Arial"/>
                <w:sz w:val="24"/>
                <w:szCs w:val="24"/>
              </w:rPr>
              <w:t>8.1</w:t>
            </w:r>
            <w:r>
              <w:rPr>
                <w:rFonts w:ascii="楷体" w:hAnsi="楷体" w:eastAsia="楷体" w:cs="Arial"/>
                <w:sz w:val="24"/>
                <w:szCs w:val="24"/>
              </w:rPr>
              <w:t xml:space="preserve"> </w:t>
            </w:r>
          </w:p>
        </w:tc>
        <w:tc>
          <w:tcPr>
            <w:tcW w:w="10237" w:type="dxa"/>
          </w:tcPr>
          <w:p>
            <w:pPr>
              <w:pStyle w:val="10"/>
              <w:numPr>
                <w:ilvl w:val="0"/>
                <w:numId w:val="0"/>
              </w:numPr>
              <w:spacing w:line="360" w:lineRule="auto"/>
              <w:ind w:leftChars="0"/>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产品实现的策划主要由</w:t>
            </w:r>
            <w:r>
              <w:rPr>
                <w:rFonts w:hint="eastAsia" w:eastAsia="宋体" w:cs="宋体"/>
                <w:b w:val="0"/>
                <w:bCs w:val="0"/>
                <w:color w:val="auto"/>
                <w:sz w:val="21"/>
                <w:szCs w:val="21"/>
                <w:lang w:eastAsia="zh-CN"/>
              </w:rPr>
              <w:t>技术部</w:t>
            </w:r>
            <w:r>
              <w:rPr>
                <w:rFonts w:hint="eastAsia" w:ascii="宋体" w:hAnsi="宋体" w:eastAsia="宋体" w:cs="宋体"/>
                <w:b w:val="0"/>
                <w:bCs w:val="0"/>
                <w:color w:val="auto"/>
                <w:sz w:val="21"/>
                <w:szCs w:val="21"/>
              </w:rPr>
              <w:t>负责完成，过程策划包含了实现产品所需达到的质量目标和要求，公司主要依据客户技术要求、</w:t>
            </w:r>
            <w:r>
              <w:rPr>
                <w:rFonts w:hint="eastAsia" w:ascii="宋体" w:hAnsi="宋体" w:eastAsia="宋体" w:cs="宋体"/>
                <w:b w:val="0"/>
                <w:bCs w:val="0"/>
                <w:color w:val="auto"/>
                <w:sz w:val="21"/>
                <w:szCs w:val="21"/>
                <w:lang w:val="de-DE"/>
              </w:rPr>
              <w:t>生产、销售仪器仪表及零部件；模具及相关产品设计与生产；机械设备设计与制造；从事计算机科技领域内的技术开发、技术咨询、技术转让、技术服务</w:t>
            </w:r>
            <w:r>
              <w:rPr>
                <w:rFonts w:hint="eastAsia" w:eastAsia="宋体" w:cs="宋体"/>
                <w:b w:val="0"/>
                <w:bCs w:val="0"/>
                <w:color w:val="auto"/>
                <w:sz w:val="21"/>
                <w:szCs w:val="21"/>
                <w:lang w:eastAsia="zh-CN"/>
              </w:rPr>
              <w:t>等</w:t>
            </w:r>
            <w:r>
              <w:rPr>
                <w:rFonts w:hint="eastAsia" w:ascii="宋体" w:hAnsi="宋体" w:eastAsia="宋体" w:cs="宋体"/>
                <w:b w:val="0"/>
                <w:bCs w:val="0"/>
                <w:color w:val="auto"/>
                <w:sz w:val="21"/>
                <w:szCs w:val="21"/>
                <w:lang w:eastAsia="zh-CN"/>
              </w:rPr>
              <w:t>流程；</w:t>
            </w:r>
          </w:p>
          <w:p>
            <w:pPr>
              <w:pStyle w:val="10"/>
              <w:numPr>
                <w:ilvl w:val="0"/>
                <w:numId w:val="0"/>
              </w:numPr>
              <w:spacing w:line="360" w:lineRule="auto"/>
              <w:ind w:leftChars="0"/>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针对公司服务过程、开展的各项检验任务，制定了原始记录，检测数据的准确、规范、规定了检测校准、研发、维修产品的检验验收准则、对产品设计开发过程设置了设计开发计划书、评审报告、验证报告、模拟报告、产品鉴定确认报告等记录</w:t>
            </w:r>
            <w:r>
              <w:rPr>
                <w:rFonts w:hint="eastAsia" w:eastAsia="宋体" w:cs="宋体"/>
                <w:b w:val="0"/>
                <w:bCs w:val="0"/>
                <w:color w:val="auto"/>
                <w:sz w:val="21"/>
                <w:szCs w:val="21"/>
                <w:lang w:eastAsia="zh-CN"/>
              </w:rPr>
              <w:t>。</w:t>
            </w:r>
          </w:p>
          <w:p>
            <w:pPr>
              <w:pStyle w:val="10"/>
              <w:numPr>
                <w:ilvl w:val="0"/>
                <w:numId w:val="0"/>
              </w:numPr>
              <w:spacing w:line="360" w:lineRule="auto"/>
              <w:ind w:leftChars="0"/>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确定：</w:t>
            </w:r>
          </w:p>
          <w:p>
            <w:pPr>
              <w:pStyle w:val="10"/>
              <w:numPr>
                <w:ilvl w:val="0"/>
                <w:numId w:val="3"/>
              </w:numPr>
              <w:spacing w:line="360" w:lineRule="auto"/>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范围：</w:t>
            </w:r>
          </w:p>
          <w:p>
            <w:pPr>
              <w:numPr>
                <w:ilvl w:val="0"/>
                <w:numId w:val="0"/>
              </w:numPr>
              <w:spacing w:line="360" w:lineRule="auto"/>
              <w:jc w:val="left"/>
              <w:rPr>
                <w:rFonts w:hint="eastAsia" w:ascii="宋体" w:hAnsi="宋体"/>
                <w:szCs w:val="21"/>
                <w:lang w:val="de-DE"/>
              </w:rPr>
            </w:pPr>
            <w:r>
              <w:rPr>
                <w:rFonts w:hint="eastAsia" w:ascii="宋体" w:hAnsi="宋体"/>
                <w:szCs w:val="21"/>
                <w:lang w:val="de-DE"/>
              </w:rPr>
              <w:t>生产、销售仪器仪表及零部件；模具及相关产品设计与生产；机械设备设计与制造（国家法律、法规另有规定的除外）；从事计算机科技领域内的技术开发、技术咨询、技术转让、技术服务</w:t>
            </w:r>
          </w:p>
          <w:p>
            <w:pPr>
              <w:numPr>
                <w:ilvl w:val="0"/>
                <w:numId w:val="3"/>
              </w:numPr>
              <w:spacing w:line="360" w:lineRule="auto"/>
              <w:ind w:left="0" w:leftChars="0" w:firstLine="0" w:firstLineChars="0"/>
              <w:jc w:val="left"/>
              <w:rPr>
                <w:rFonts w:hint="eastAsia" w:ascii="宋体" w:hAnsi="宋体" w:eastAsia="宋体" w:cs="宋体"/>
                <w:b/>
                <w:bCs/>
                <w:sz w:val="21"/>
                <w:szCs w:val="21"/>
              </w:rPr>
            </w:pPr>
            <w:r>
              <w:rPr>
                <w:rFonts w:hint="eastAsia" w:ascii="宋体" w:hAnsi="宋体" w:eastAsia="宋体" w:cs="宋体"/>
                <w:b/>
                <w:bCs/>
                <w:sz w:val="21"/>
                <w:szCs w:val="21"/>
              </w:rPr>
              <w:t>公司目标：</w:t>
            </w:r>
          </w:p>
          <w:p>
            <w:pPr>
              <w:ind w:firstLine="525" w:firstLineChars="250"/>
              <w:rPr>
                <w:rFonts w:hint="eastAsia" w:eastAsiaTheme="minorEastAsia"/>
                <w:color w:val="000000"/>
                <w:szCs w:val="21"/>
              </w:rPr>
            </w:pPr>
            <w:r>
              <w:rPr>
                <w:rFonts w:hint="eastAsia" w:eastAsiaTheme="minorEastAsia"/>
                <w:color w:val="000000"/>
                <w:szCs w:val="21"/>
              </w:rPr>
              <w:t>质量目标：1）、产品一次</w:t>
            </w:r>
            <w:r>
              <w:rPr>
                <w:rFonts w:hint="eastAsia" w:eastAsiaTheme="minorEastAsia"/>
                <w:color w:val="000000"/>
                <w:szCs w:val="21"/>
                <w:lang w:val="en-US" w:eastAsia="zh-CN"/>
              </w:rPr>
              <w:t>检验</w:t>
            </w:r>
            <w:r>
              <w:rPr>
                <w:rFonts w:hint="eastAsia" w:eastAsiaTheme="minorEastAsia"/>
                <w:color w:val="000000"/>
                <w:szCs w:val="21"/>
              </w:rPr>
              <w:t>合格率达到9</w:t>
            </w:r>
            <w:r>
              <w:rPr>
                <w:rFonts w:hint="eastAsia" w:eastAsiaTheme="minorEastAsia"/>
                <w:color w:val="000000"/>
                <w:szCs w:val="21"/>
                <w:lang w:val="en-US" w:eastAsia="zh-CN"/>
              </w:rPr>
              <w:t>8</w:t>
            </w:r>
            <w:r>
              <w:rPr>
                <w:rFonts w:hint="eastAsia" w:eastAsiaTheme="minorEastAsia"/>
                <w:color w:val="000000"/>
                <w:szCs w:val="21"/>
              </w:rPr>
              <w:t>%</w:t>
            </w:r>
            <w:r>
              <w:rPr>
                <w:rFonts w:hint="eastAsia" w:eastAsiaTheme="minorEastAsia"/>
                <w:color w:val="000000"/>
                <w:szCs w:val="21"/>
                <w:lang w:val="en-US" w:eastAsia="zh-CN"/>
              </w:rPr>
              <w:t>以上</w:t>
            </w:r>
            <w:r>
              <w:rPr>
                <w:rFonts w:hint="eastAsia" w:eastAsiaTheme="minorEastAsia"/>
                <w:color w:val="000000"/>
                <w:szCs w:val="21"/>
              </w:rPr>
              <w:t>；</w:t>
            </w:r>
          </w:p>
          <w:p>
            <w:pPr>
              <w:ind w:firstLine="1575" w:firstLineChars="750"/>
              <w:rPr>
                <w:rFonts w:hint="eastAsia" w:eastAsiaTheme="minorEastAsia"/>
                <w:color w:val="000000"/>
                <w:szCs w:val="21"/>
              </w:rPr>
            </w:pPr>
            <w:r>
              <w:rPr>
                <w:rFonts w:hint="eastAsia" w:eastAsiaTheme="minorEastAsia"/>
                <w:color w:val="000000"/>
                <w:szCs w:val="21"/>
              </w:rPr>
              <w:t>2）、合同履约率100％；</w:t>
            </w:r>
          </w:p>
          <w:p>
            <w:pPr>
              <w:ind w:firstLine="1575" w:firstLineChars="750"/>
              <w:rPr>
                <w:rFonts w:hint="eastAsia" w:eastAsiaTheme="minorEastAsia"/>
                <w:color w:val="000000"/>
                <w:szCs w:val="21"/>
              </w:rPr>
            </w:pPr>
            <w:r>
              <w:rPr>
                <w:rFonts w:hint="eastAsia" w:eastAsiaTheme="minorEastAsia"/>
                <w:color w:val="000000"/>
                <w:szCs w:val="21"/>
              </w:rPr>
              <w:t>3）、顾客满意率达到≥90%以上。</w:t>
            </w:r>
          </w:p>
          <w:p>
            <w:pPr>
              <w:ind w:firstLine="1575" w:firstLineChars="750"/>
              <w:rPr>
                <w:rFonts w:hint="eastAsia" w:eastAsiaTheme="minorEastAsia"/>
                <w:color w:val="000000"/>
                <w:szCs w:val="21"/>
              </w:rPr>
            </w:pPr>
            <w:r>
              <w:rPr>
                <w:rFonts w:hint="eastAsia" w:eastAsiaTheme="minorEastAsia"/>
                <w:color w:val="000000"/>
                <w:szCs w:val="21"/>
              </w:rPr>
              <w:t>4）、重大质量事故为</w:t>
            </w:r>
            <w:r>
              <w:rPr>
                <w:rFonts w:hint="eastAsia" w:eastAsiaTheme="minorEastAsia"/>
                <w:color w:val="000000"/>
                <w:szCs w:val="21"/>
                <w:lang w:val="en-US" w:eastAsia="zh-CN"/>
              </w:rPr>
              <w:t>0</w:t>
            </w:r>
            <w:r>
              <w:rPr>
                <w:rFonts w:hint="eastAsia" w:eastAsiaTheme="minorEastAsia"/>
                <w:color w:val="000000"/>
                <w:szCs w:val="21"/>
              </w:rPr>
              <w:t>。</w:t>
            </w:r>
          </w:p>
          <w:p>
            <w:pPr>
              <w:ind w:firstLine="525" w:firstLineChars="250"/>
              <w:rPr>
                <w:rFonts w:hint="eastAsia" w:eastAsiaTheme="minorEastAsia"/>
                <w:color w:val="000000"/>
                <w:szCs w:val="21"/>
              </w:rPr>
            </w:pPr>
            <w:r>
              <w:rPr>
                <w:rFonts w:hint="eastAsia" w:eastAsiaTheme="minorEastAsia"/>
                <w:color w:val="000000"/>
                <w:szCs w:val="21"/>
              </w:rPr>
              <w:t>环境目标：1）、控制</w:t>
            </w:r>
            <w:r>
              <w:rPr>
                <w:rFonts w:hint="eastAsia" w:eastAsiaTheme="minorEastAsia"/>
                <w:color w:val="000000"/>
                <w:szCs w:val="21"/>
                <w:lang w:val="en-US" w:eastAsia="zh-CN"/>
              </w:rPr>
              <w:t>生产</w:t>
            </w:r>
            <w:r>
              <w:rPr>
                <w:rFonts w:hint="eastAsia" w:eastAsiaTheme="minorEastAsia"/>
                <w:color w:val="000000"/>
                <w:szCs w:val="21"/>
              </w:rPr>
              <w:t>噪声、</w:t>
            </w:r>
            <w:r>
              <w:rPr>
                <w:rFonts w:hint="eastAsia" w:eastAsiaTheme="minorEastAsia"/>
                <w:color w:val="000000"/>
                <w:szCs w:val="21"/>
                <w:lang w:val="en-US" w:eastAsia="zh-CN"/>
              </w:rPr>
              <w:t>废气</w:t>
            </w:r>
            <w:r>
              <w:rPr>
                <w:rFonts w:hint="eastAsia" w:eastAsiaTheme="minorEastAsia"/>
                <w:color w:val="000000"/>
                <w:szCs w:val="21"/>
              </w:rPr>
              <w:t>、</w:t>
            </w:r>
            <w:r>
              <w:rPr>
                <w:rFonts w:hint="eastAsia" w:eastAsiaTheme="minorEastAsia"/>
                <w:color w:val="000000"/>
                <w:szCs w:val="21"/>
                <w:lang w:val="en-US" w:eastAsia="zh-CN"/>
              </w:rPr>
              <w:t>固废、</w:t>
            </w:r>
            <w:r>
              <w:rPr>
                <w:rFonts w:hint="eastAsia" w:eastAsiaTheme="minorEastAsia"/>
                <w:color w:val="000000"/>
                <w:szCs w:val="21"/>
              </w:rPr>
              <w:t xml:space="preserve">污水排放无投诉； </w:t>
            </w:r>
          </w:p>
          <w:p>
            <w:pPr>
              <w:ind w:firstLine="1575" w:firstLineChars="750"/>
              <w:rPr>
                <w:rFonts w:hint="eastAsia" w:eastAsiaTheme="minorEastAsia"/>
                <w:color w:val="000000"/>
                <w:szCs w:val="21"/>
              </w:rPr>
            </w:pPr>
            <w:r>
              <w:rPr>
                <w:rFonts w:hint="eastAsia" w:eastAsiaTheme="minorEastAsia"/>
                <w:color w:val="000000"/>
                <w:szCs w:val="21"/>
              </w:rPr>
              <w:t>2）、固体废弃物（含危废）有效处置率≥95%；</w:t>
            </w:r>
          </w:p>
          <w:p>
            <w:pPr>
              <w:ind w:firstLine="1575" w:firstLineChars="750"/>
              <w:rPr>
                <w:rFonts w:hint="eastAsia" w:eastAsiaTheme="minorEastAsia"/>
                <w:color w:val="000000"/>
                <w:szCs w:val="21"/>
                <w:lang w:val="en-US" w:eastAsia="zh-CN"/>
              </w:rPr>
            </w:pPr>
            <w:r>
              <w:rPr>
                <w:rFonts w:hint="eastAsia" w:eastAsiaTheme="minorEastAsia"/>
                <w:color w:val="000000"/>
                <w:szCs w:val="21"/>
                <w:lang w:val="en-US" w:eastAsia="zh-CN"/>
              </w:rPr>
              <w:t>3）、</w:t>
            </w:r>
            <w:r>
              <w:rPr>
                <w:rFonts w:hint="eastAsia" w:eastAsiaTheme="minorEastAsia"/>
                <w:color w:val="000000"/>
                <w:szCs w:val="21"/>
                <w:lang w:eastAsia="zh-CN"/>
              </w:rPr>
              <w:t>火灾事故为</w:t>
            </w:r>
            <w:r>
              <w:rPr>
                <w:rFonts w:hint="eastAsia" w:eastAsiaTheme="minorEastAsia"/>
                <w:color w:val="000000"/>
                <w:szCs w:val="21"/>
                <w:lang w:val="en-US" w:eastAsia="zh-CN"/>
              </w:rPr>
              <w:t>0</w:t>
            </w:r>
          </w:p>
          <w:p>
            <w:pPr>
              <w:ind w:firstLine="525" w:firstLineChars="250"/>
              <w:rPr>
                <w:rFonts w:hint="eastAsia" w:eastAsiaTheme="minorEastAsia"/>
                <w:color w:val="000000"/>
                <w:szCs w:val="21"/>
              </w:rPr>
            </w:pPr>
            <w:r>
              <w:rPr>
                <w:rFonts w:hint="eastAsia" w:eastAsiaTheme="minorEastAsia"/>
                <w:color w:val="000000"/>
                <w:szCs w:val="21"/>
              </w:rPr>
              <w:t>职业健康安全目标：1）、</w:t>
            </w:r>
            <w:r>
              <w:rPr>
                <w:rFonts w:hint="eastAsia" w:eastAsiaTheme="minorEastAsia"/>
                <w:color w:val="000000"/>
                <w:szCs w:val="21"/>
                <w:lang w:val="en-US" w:eastAsia="zh-CN"/>
              </w:rPr>
              <w:t>死亡</w:t>
            </w:r>
            <w:r>
              <w:rPr>
                <w:rFonts w:hint="eastAsia" w:eastAsiaTheme="minorEastAsia"/>
                <w:color w:val="000000"/>
                <w:szCs w:val="21"/>
              </w:rPr>
              <w:t>事故为0</w:t>
            </w:r>
            <w:r>
              <w:rPr>
                <w:rFonts w:hint="eastAsia" w:eastAsiaTheme="minorEastAsia"/>
                <w:color w:val="000000"/>
                <w:szCs w:val="21"/>
                <w:lang w:eastAsia="zh-CN"/>
              </w:rPr>
              <w:t>；</w:t>
            </w:r>
          </w:p>
          <w:p>
            <w:pPr>
              <w:ind w:firstLine="2415" w:firstLineChars="1150"/>
              <w:rPr>
                <w:rFonts w:hint="eastAsia" w:eastAsiaTheme="minorEastAsia"/>
                <w:color w:val="000000"/>
                <w:szCs w:val="21"/>
                <w:lang w:val="en-US" w:eastAsia="zh-CN"/>
              </w:rPr>
            </w:pPr>
            <w:r>
              <w:rPr>
                <w:rFonts w:hint="eastAsia" w:eastAsiaTheme="minorEastAsia"/>
                <w:color w:val="000000"/>
                <w:szCs w:val="21"/>
              </w:rPr>
              <w:t>2）、</w:t>
            </w:r>
            <w:r>
              <w:rPr>
                <w:rFonts w:hint="eastAsia" w:eastAsiaTheme="minorEastAsia"/>
                <w:color w:val="000000"/>
                <w:szCs w:val="21"/>
                <w:lang w:val="en-US" w:eastAsia="zh-CN"/>
              </w:rPr>
              <w:t>重伤事故为0；</w:t>
            </w:r>
          </w:p>
          <w:p>
            <w:pPr>
              <w:ind w:firstLine="2415" w:firstLineChars="1150"/>
              <w:rPr>
                <w:rFonts w:hint="eastAsia"/>
              </w:rPr>
            </w:pPr>
            <w:r>
              <w:rPr>
                <w:rFonts w:hint="eastAsia" w:eastAsiaTheme="minorEastAsia"/>
                <w:color w:val="000000"/>
                <w:szCs w:val="21"/>
                <w:lang w:val="en-US" w:eastAsia="zh-CN"/>
              </w:rPr>
              <w:t>3）、轻伤事故每季度少于3次</w:t>
            </w:r>
          </w:p>
          <w:p>
            <w:pPr>
              <w:numPr>
                <w:ilvl w:val="0"/>
                <w:numId w:val="0"/>
              </w:numPr>
              <w:spacing w:line="360" w:lineRule="auto"/>
              <w:ind w:leftChars="0"/>
              <w:jc w:val="left"/>
              <w:rPr>
                <w:rFonts w:ascii="楷体" w:hAnsi="楷体" w:eastAsia="楷体" w:cs="宋体"/>
                <w:sz w:val="24"/>
                <w:szCs w:val="24"/>
              </w:rPr>
            </w:pP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产品主要执行标准</w:t>
            </w:r>
            <w:r>
              <w:rPr>
                <w:rFonts w:hint="eastAsia" w:ascii="楷体" w:hAnsi="楷体" w:eastAsia="楷体" w:cs="宋体"/>
                <w:sz w:val="24"/>
                <w:szCs w:val="24"/>
              </w:rPr>
              <w:t>：</w:t>
            </w:r>
          </w:p>
          <w:p>
            <w:pPr>
              <w:spacing w:line="360" w:lineRule="auto"/>
              <w:rPr>
                <w:rFonts w:hint="eastAsia" w:ascii="宋体" w:hAnsi="宋体" w:eastAsia="宋体" w:cs="宋体"/>
                <w:color w:val="000000"/>
                <w:kern w:val="0"/>
                <w:sz w:val="21"/>
                <w:szCs w:val="21"/>
                <w:lang w:val="en-US" w:eastAsia="zh-CN" w:bidi="ar"/>
              </w:rPr>
            </w:pPr>
            <w:r>
              <w:rPr>
                <w:rFonts w:hint="eastAsia" w:ascii="宋体" w:hAnsi="宋体" w:cs="宋体"/>
                <w:b w:val="0"/>
                <w:color w:val="000000"/>
                <w:kern w:val="1"/>
                <w:sz w:val="24"/>
                <w:szCs w:val="24"/>
                <w:lang w:val="en-US" w:eastAsia="zh-CN" w:bidi="ar-SA"/>
              </w:rPr>
              <w:t xml:space="preserve"> </w:t>
            </w:r>
            <w:r>
              <w:rPr>
                <w:rFonts w:hint="eastAsia" w:ascii="宋体" w:hAnsi="宋体" w:eastAsia="宋体" w:cs="宋体"/>
                <w:color w:val="000000"/>
                <w:kern w:val="0"/>
                <w:sz w:val="21"/>
                <w:szCs w:val="21"/>
                <w:lang w:val="en-US" w:eastAsia="zh-CN" w:bidi="ar"/>
              </w:rPr>
              <w:t>GB T 778.1-2018饮用冷水水表和热水水表第1部分：计量要求和技术要求；GB T 778.2-2018饮用冷水水表和热水水表第2部分：试验方法；GB T 778.3-2018饮用冷水水表和热水水表第3部分：试验报告格式；GB T 778.3-2018饮用冷水水表和热水水表第4部分：GBT778.1中未包含的非计量要求；GB T 778.3-2018饮用冷水水表和热水水表第5部分：安装要求；GB/T25920-2010饮用冷水水表塑料表壳及承压件技术规范标准；CJ/T133-2007«IC卡冷水水表»的技术要求；GB/TJJG162-2009冷水水表等</w:t>
            </w:r>
            <w:r>
              <w:rPr>
                <w:rFonts w:hint="eastAsia" w:ascii="宋体" w:hAnsi="宋体" w:cs="宋体"/>
                <w:color w:val="000000"/>
                <w:kern w:val="0"/>
                <w:sz w:val="21"/>
                <w:szCs w:val="21"/>
                <w:lang w:val="en-US" w:eastAsia="zh-CN" w:bidi="ar"/>
              </w:rPr>
              <w:t>8</w:t>
            </w:r>
            <w:r>
              <w:rPr>
                <w:rFonts w:hint="eastAsia" w:ascii="宋体" w:hAnsi="宋体" w:eastAsia="宋体" w:cs="宋体"/>
                <w:color w:val="000000"/>
                <w:kern w:val="0"/>
                <w:sz w:val="21"/>
                <w:szCs w:val="21"/>
                <w:lang w:val="en-US" w:eastAsia="zh-CN" w:bidi="ar"/>
              </w:rPr>
              <w:t>个检定规程及规范进行检测和研发服务，编制了相应的过程文件。</w:t>
            </w:r>
          </w:p>
          <w:p>
            <w:pPr>
              <w:keepNext w:val="0"/>
              <w:keepLines w:val="0"/>
              <w:widowControl/>
              <w:suppressLineNumbers w:val="0"/>
              <w:spacing w:line="360" w:lineRule="auto"/>
              <w:jc w:val="left"/>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4</w:t>
            </w:r>
            <w:r>
              <w:rPr>
                <w:rFonts w:hint="eastAsia" w:ascii="宋体" w:hAnsi="宋体" w:eastAsia="宋体" w:cs="宋体"/>
                <w:b/>
                <w:bCs/>
                <w:color w:val="000000"/>
                <w:sz w:val="21"/>
                <w:szCs w:val="21"/>
              </w:rPr>
              <w:t>、</w:t>
            </w:r>
            <w:r>
              <w:rPr>
                <w:rFonts w:hint="eastAsia" w:ascii="宋体" w:hAnsi="宋体" w:eastAsia="宋体" w:cs="宋体"/>
                <w:b/>
                <w:bCs/>
                <w:color w:val="000000"/>
                <w:sz w:val="21"/>
                <w:szCs w:val="21"/>
                <w:lang w:val="en-US" w:eastAsia="zh-CN"/>
              </w:rPr>
              <w:t>工艺流程</w:t>
            </w:r>
          </w:p>
          <w:p>
            <w:pPr>
              <w:rPr>
                <w:rFonts w:hint="eastAsia"/>
                <w:lang w:val="en-US" w:eastAsia="zh-CN"/>
              </w:rPr>
            </w:pPr>
            <w:r>
              <w:rPr>
                <w:rFonts w:hint="eastAsia" w:ascii="Times New Roman" w:hAnsi="Times New Roman" w:eastAsia="宋体" w:cs="Times New Roman"/>
                <w:szCs w:val="22"/>
                <w:lang w:val="en-US" w:eastAsia="zh-CN"/>
              </w:rPr>
              <w:t>原材料（含外包主板加工）—锡焊天线、电容—安装电池及底座—安装上翻盖</w:t>
            </w:r>
            <w:r>
              <w:rPr>
                <w:rFonts w:hint="eastAsia"/>
                <w:b/>
                <w:bCs/>
                <w:sz w:val="28"/>
                <w:szCs w:val="28"/>
                <w:lang w:val="en-US" w:eastAsia="zh-CN"/>
              </w:rPr>
              <w:t>—</w:t>
            </w:r>
            <w:r>
              <w:rPr>
                <w:rFonts w:hint="eastAsia" w:ascii="Times New Roman" w:hAnsi="Times New Roman" w:eastAsia="宋体" w:cs="Times New Roman"/>
                <w:szCs w:val="22"/>
                <w:lang w:val="en-US" w:eastAsia="zh-CN"/>
              </w:rPr>
              <w:t>安装电子装置—功能检测—密封上盖——成品检查—上防拆帽、打铅封、贴合格证—入库。</w:t>
            </w:r>
          </w:p>
          <w:p>
            <w:pPr>
              <w:spacing w:line="36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5</w:t>
            </w:r>
            <w:r>
              <w:rPr>
                <w:rFonts w:hint="eastAsia" w:ascii="宋体" w:hAnsi="宋体" w:eastAsia="宋体" w:cs="宋体"/>
                <w:b/>
                <w:bCs/>
                <w:sz w:val="21"/>
                <w:szCs w:val="21"/>
              </w:rPr>
              <w:t>、为实现质量目标配置了相应人员</w:t>
            </w:r>
            <w:r>
              <w:rPr>
                <w:rFonts w:hint="eastAsia" w:ascii="宋体" w:hAnsi="宋体" w:eastAsia="宋体" w:cs="宋体"/>
                <w:b w:val="0"/>
                <w:bCs w:val="0"/>
                <w:sz w:val="21"/>
                <w:szCs w:val="21"/>
              </w:rPr>
              <w:t>（如</w:t>
            </w:r>
            <w:r>
              <w:rPr>
                <w:rFonts w:hint="eastAsia" w:ascii="宋体" w:hAnsi="宋体" w:eastAsia="宋体" w:cs="宋体"/>
                <w:b w:val="0"/>
                <w:bCs w:val="0"/>
                <w:sz w:val="21"/>
                <w:szCs w:val="21"/>
                <w:lang w:val="en-US" w:eastAsia="zh-CN"/>
              </w:rPr>
              <w:t>业务</w:t>
            </w:r>
            <w:r>
              <w:rPr>
                <w:rFonts w:hint="eastAsia" w:ascii="宋体" w:hAnsi="宋体" w:eastAsia="宋体" w:cs="宋体"/>
                <w:b w:val="0"/>
                <w:bCs w:val="0"/>
                <w:sz w:val="21"/>
                <w:szCs w:val="21"/>
              </w:rPr>
              <w:t>人员</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技术人员均为大专或以上学历</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试验室人员持有操作作业证书、上岗前经过岗前培训，</w:t>
            </w:r>
            <w:r>
              <w:rPr>
                <w:rFonts w:hint="eastAsia" w:ascii="宋体" w:hAnsi="宋体" w:eastAsia="宋体" w:cs="宋体"/>
                <w:b w:val="0"/>
                <w:bCs w:val="0"/>
                <w:sz w:val="21"/>
                <w:szCs w:val="21"/>
                <w:lang w:val="en-US" w:eastAsia="zh-CN"/>
              </w:rPr>
              <w:t>检测</w:t>
            </w:r>
            <w:r>
              <w:rPr>
                <w:rFonts w:hint="eastAsia" w:ascii="宋体" w:hAnsi="宋体" w:eastAsia="宋体" w:cs="宋体"/>
                <w:b w:val="0"/>
                <w:bCs w:val="0"/>
                <w:sz w:val="21"/>
                <w:szCs w:val="21"/>
              </w:rPr>
              <w:t>人员均经过专业培训等)</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见</w:t>
            </w:r>
            <w:r>
              <w:rPr>
                <w:rFonts w:hint="eastAsia" w:ascii="宋体" w:hAnsi="宋体" w:eastAsia="宋体" w:cs="宋体"/>
                <w:b w:val="0"/>
                <w:bCs w:val="0"/>
                <w:kern w:val="0"/>
                <w:sz w:val="21"/>
                <w:szCs w:val="21"/>
              </w:rPr>
              <w:t>7.1.2</w:t>
            </w:r>
            <w:r>
              <w:rPr>
                <w:rFonts w:hint="eastAsia" w:ascii="宋体" w:hAnsi="宋体" w:eastAsia="宋体" w:cs="宋体"/>
                <w:b w:val="0"/>
                <w:bCs w:val="0"/>
                <w:sz w:val="21"/>
                <w:szCs w:val="21"/>
              </w:rPr>
              <w:t>记录条款</w:t>
            </w:r>
            <w:r>
              <w:rPr>
                <w:rFonts w:hint="eastAsia" w:ascii="宋体" w:hAnsi="宋体" w:eastAsia="宋体" w:cs="宋体"/>
                <w:b w:val="0"/>
                <w:bCs w:val="0"/>
                <w:sz w:val="21"/>
                <w:szCs w:val="21"/>
                <w:lang w:eastAsia="zh-CN"/>
              </w:rPr>
              <w:t>。</w:t>
            </w:r>
          </w:p>
          <w:p>
            <w:pPr>
              <w:spacing w:line="360" w:lineRule="auto"/>
              <w:rPr>
                <w:rFonts w:hint="eastAsia" w:ascii="宋体" w:hAnsi="宋体" w:eastAsia="宋体" w:cs="宋体"/>
                <w:bCs/>
                <w:sz w:val="21"/>
                <w:szCs w:val="21"/>
              </w:rPr>
            </w:pPr>
            <w:r>
              <w:rPr>
                <w:rFonts w:hint="eastAsia" w:ascii="宋体" w:hAnsi="宋体" w:eastAsia="宋体" w:cs="宋体"/>
                <w:b/>
                <w:bCs/>
                <w:sz w:val="21"/>
                <w:szCs w:val="21"/>
                <w:lang w:val="en-US" w:eastAsia="zh-CN"/>
              </w:rPr>
              <w:t>6</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检测</w:t>
            </w:r>
            <w:r>
              <w:rPr>
                <w:rFonts w:hint="eastAsia" w:ascii="宋体" w:hAnsi="宋体" w:eastAsia="宋体" w:cs="宋体"/>
                <w:b/>
                <w:bCs/>
                <w:sz w:val="21"/>
                <w:szCs w:val="21"/>
              </w:rPr>
              <w:t>设备：</w:t>
            </w:r>
            <w:r>
              <w:rPr>
                <w:rFonts w:hint="eastAsia" w:ascii="宋体" w:hAnsi="宋体" w:eastAsia="宋体" w:cs="宋体"/>
                <w:bCs/>
                <w:sz w:val="21"/>
                <w:szCs w:val="21"/>
              </w:rPr>
              <w:t>见7.1.3记录条款。</w:t>
            </w:r>
          </w:p>
          <w:p>
            <w:pPr>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监测资源：提供检定合格证书（见</w:t>
            </w:r>
            <w:r>
              <w:rPr>
                <w:rFonts w:hint="eastAsia" w:ascii="宋体" w:hAnsi="宋体" w:eastAsia="宋体" w:cs="宋体"/>
                <w:bCs/>
                <w:sz w:val="21"/>
                <w:szCs w:val="21"/>
                <w:lang w:val="en-US" w:eastAsia="zh-CN"/>
              </w:rPr>
              <w:t>相关证据</w:t>
            </w:r>
            <w:r>
              <w:rPr>
                <w:rFonts w:hint="eastAsia" w:ascii="宋体" w:hAnsi="宋体" w:eastAsia="宋体" w:cs="宋体"/>
                <w:bCs/>
                <w:sz w:val="21"/>
                <w:szCs w:val="21"/>
              </w:rPr>
              <w:t>）。</w:t>
            </w:r>
          </w:p>
          <w:p>
            <w:pPr>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办公设备：电脑、打印机、传真机、电话等。提供维修保养计划及记录，满足要求。</w:t>
            </w:r>
          </w:p>
          <w:p>
            <w:pPr>
              <w:pStyle w:val="21"/>
              <w:numPr>
                <w:ilvl w:val="0"/>
                <w:numId w:val="0"/>
              </w:numPr>
              <w:spacing w:line="360" w:lineRule="auto"/>
              <w:ind w:leftChars="0"/>
              <w:rPr>
                <w:rFonts w:hint="eastAsia" w:ascii="宋体" w:hAnsi="宋体" w:eastAsia="宋体" w:cs="宋体"/>
                <w:sz w:val="21"/>
                <w:szCs w:val="21"/>
              </w:rPr>
            </w:pPr>
            <w:r>
              <w:rPr>
                <w:rFonts w:hint="eastAsia" w:ascii="宋体" w:hAnsi="宋体" w:eastAsia="宋体" w:cs="宋体"/>
                <w:b/>
                <w:bCs/>
                <w:sz w:val="21"/>
                <w:szCs w:val="21"/>
                <w:lang w:val="en-US" w:eastAsia="zh-CN"/>
              </w:rPr>
              <w:t>7、</w:t>
            </w:r>
            <w:r>
              <w:rPr>
                <w:rFonts w:hint="eastAsia" w:ascii="宋体" w:hAnsi="宋体" w:eastAsia="宋体" w:cs="宋体"/>
                <w:b/>
                <w:bCs/>
                <w:sz w:val="21"/>
                <w:szCs w:val="21"/>
              </w:rPr>
              <w:t>编制了相应的作业文件</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管理制度</w:t>
            </w:r>
            <w:r>
              <w:rPr>
                <w:rFonts w:hint="eastAsia" w:ascii="宋体" w:hAnsi="宋体" w:eastAsia="宋体" w:cs="宋体"/>
                <w:b/>
                <w:bCs/>
                <w:sz w:val="21"/>
                <w:szCs w:val="21"/>
                <w:lang w:eastAsia="zh-CN"/>
              </w:rPr>
              <w:t>）</w:t>
            </w:r>
            <w:r>
              <w:rPr>
                <w:rFonts w:hint="eastAsia" w:ascii="宋体" w:hAnsi="宋体" w:eastAsia="宋体" w:cs="宋体"/>
                <w:sz w:val="21"/>
                <w:szCs w:val="21"/>
              </w:rPr>
              <w:t>：</w:t>
            </w:r>
          </w:p>
          <w:p>
            <w:pPr>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eastAsia="zh-CN"/>
              </w:rPr>
              <w:t>标准物质、</w:t>
            </w:r>
            <w:r>
              <w:rPr>
                <w:rFonts w:hint="eastAsia" w:ascii="宋体" w:hAnsi="宋体" w:eastAsia="宋体" w:cs="宋体"/>
                <w:b w:val="0"/>
                <w:bCs w:val="0"/>
                <w:sz w:val="21"/>
                <w:szCs w:val="21"/>
                <w:lang w:val="en-US" w:eastAsia="zh-CN"/>
              </w:rPr>
              <w:t>试验室</w:t>
            </w:r>
            <w:r>
              <w:rPr>
                <w:rFonts w:hint="eastAsia" w:ascii="宋体" w:hAnsi="宋体" w:eastAsia="宋体" w:cs="宋体"/>
                <w:b w:val="0"/>
                <w:bCs w:val="0"/>
                <w:sz w:val="21"/>
                <w:szCs w:val="21"/>
              </w:rPr>
              <w:t>管理制度</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样品室管理制度</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质量监督工作规范</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检测用计算机及软件管理规范</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实验室安全管理规范</w:t>
            </w:r>
            <w:r>
              <w:rPr>
                <w:rFonts w:hint="eastAsia" w:ascii="宋体" w:hAnsi="宋体" w:eastAsia="宋体" w:cs="宋体"/>
                <w:b w:val="0"/>
                <w:bCs w:val="0"/>
                <w:sz w:val="21"/>
                <w:szCs w:val="21"/>
                <w:lang w:val="en-US" w:eastAsia="zh-CN"/>
              </w:rPr>
              <w:t>等</w:t>
            </w:r>
          </w:p>
          <w:p>
            <w:pPr>
              <w:spacing w:line="360" w:lineRule="auto"/>
              <w:rPr>
                <w:rFonts w:hint="eastAsia" w:ascii="宋体" w:hAnsi="宋体" w:eastAsia="宋体" w:cs="宋体"/>
                <w:sz w:val="21"/>
                <w:szCs w:val="21"/>
              </w:rPr>
            </w:pPr>
            <w:r>
              <w:rPr>
                <w:rFonts w:hint="eastAsia" w:ascii="宋体" w:hAnsi="宋体" w:eastAsia="宋体" w:cs="宋体"/>
                <w:b/>
                <w:bCs/>
                <w:sz w:val="21"/>
                <w:szCs w:val="21"/>
                <w:lang w:val="en-US" w:eastAsia="zh-CN"/>
              </w:rPr>
              <w:t>8、</w:t>
            </w:r>
            <w:r>
              <w:rPr>
                <w:rFonts w:hint="eastAsia" w:ascii="宋体" w:hAnsi="宋体" w:eastAsia="宋体" w:cs="宋体"/>
                <w:b/>
                <w:bCs/>
                <w:sz w:val="21"/>
                <w:szCs w:val="21"/>
              </w:rPr>
              <w:t>接收准则</w:t>
            </w:r>
            <w:r>
              <w:rPr>
                <w:rFonts w:hint="eastAsia" w:ascii="宋体" w:hAnsi="宋体" w:eastAsia="宋体" w:cs="宋体"/>
                <w:sz w:val="21"/>
                <w:szCs w:val="21"/>
              </w:rPr>
              <w:t>:</w:t>
            </w:r>
            <w:r>
              <w:rPr>
                <w:rFonts w:hint="eastAsia" w:ascii="宋体" w:hAnsi="宋体" w:eastAsia="宋体" w:cs="宋体"/>
                <w:sz w:val="21"/>
                <w:szCs w:val="21"/>
                <w:lang w:val="en-US" w:eastAsia="zh-CN"/>
              </w:rPr>
              <w:t>依据委托检验</w:t>
            </w:r>
            <w:r>
              <w:rPr>
                <w:rFonts w:hint="eastAsia" w:ascii="宋体" w:hAnsi="宋体" w:eastAsia="宋体" w:cs="宋体"/>
                <w:sz w:val="21"/>
                <w:szCs w:val="21"/>
              </w:rPr>
              <w:t>合同、相关标准、用户要求等进行接收，以保证交付的</w:t>
            </w:r>
            <w:r>
              <w:rPr>
                <w:rFonts w:hint="eastAsia" w:ascii="宋体" w:hAnsi="宋体" w:eastAsia="宋体" w:cs="宋体"/>
                <w:sz w:val="21"/>
                <w:szCs w:val="21"/>
                <w:lang w:val="en-US" w:eastAsia="zh-CN"/>
              </w:rPr>
              <w:t>服务</w:t>
            </w:r>
            <w:r>
              <w:rPr>
                <w:rFonts w:hint="eastAsia" w:ascii="宋体" w:hAnsi="宋体" w:eastAsia="宋体" w:cs="宋体"/>
                <w:sz w:val="21"/>
                <w:szCs w:val="21"/>
              </w:rPr>
              <w:t>满足要求</w:t>
            </w:r>
          </w:p>
          <w:p>
            <w:pPr>
              <w:spacing w:line="360" w:lineRule="auto"/>
              <w:rPr>
                <w:rFonts w:hint="eastAsia" w:ascii="宋体" w:hAnsi="宋体" w:eastAsia="宋体" w:cs="宋体"/>
                <w:sz w:val="21"/>
                <w:szCs w:val="21"/>
              </w:rPr>
            </w:pPr>
            <w:r>
              <w:rPr>
                <w:rFonts w:hint="eastAsia" w:ascii="宋体" w:hAnsi="宋体" w:eastAsia="宋体" w:cs="宋体"/>
                <w:b/>
                <w:bCs/>
                <w:sz w:val="21"/>
                <w:szCs w:val="21"/>
                <w:lang w:val="en-US" w:eastAsia="zh-CN"/>
              </w:rPr>
              <w:t>9、</w:t>
            </w:r>
            <w:r>
              <w:rPr>
                <w:rFonts w:hint="eastAsia" w:ascii="宋体" w:hAnsi="宋体" w:eastAsia="宋体" w:cs="宋体"/>
                <w:b/>
                <w:bCs/>
                <w:sz w:val="21"/>
                <w:szCs w:val="21"/>
              </w:rPr>
              <w:t>记录：</w:t>
            </w:r>
            <w:r>
              <w:rPr>
                <w:rFonts w:hint="eastAsia" w:ascii="宋体" w:hAnsi="宋体" w:eastAsia="宋体" w:cs="宋体"/>
                <w:sz w:val="21"/>
                <w:szCs w:val="21"/>
              </w:rPr>
              <w:t>策划有委托</w:t>
            </w:r>
            <w:r>
              <w:rPr>
                <w:rFonts w:hint="eastAsia" w:ascii="宋体" w:hAnsi="宋体" w:eastAsia="宋体" w:cs="宋体"/>
                <w:sz w:val="21"/>
                <w:szCs w:val="21"/>
                <w:lang w:val="en-US" w:eastAsia="zh-CN"/>
              </w:rPr>
              <w:t>检测</w:t>
            </w:r>
            <w:r>
              <w:rPr>
                <w:rFonts w:hint="eastAsia" w:ascii="宋体" w:hAnsi="宋体" w:eastAsia="宋体" w:cs="宋体"/>
                <w:sz w:val="21"/>
                <w:szCs w:val="21"/>
              </w:rPr>
              <w:t>合同、</w:t>
            </w:r>
            <w:r>
              <w:rPr>
                <w:rFonts w:hint="eastAsia" w:ascii="宋体" w:hAnsi="宋体" w:eastAsia="宋体" w:cs="宋体"/>
                <w:sz w:val="21"/>
                <w:szCs w:val="21"/>
                <w:lang w:val="en-US" w:eastAsia="zh-CN"/>
              </w:rPr>
              <w:t>检测</w:t>
            </w:r>
            <w:r>
              <w:rPr>
                <w:rFonts w:hint="eastAsia" w:ascii="宋体" w:hAnsi="宋体" w:eastAsia="宋体" w:cs="宋体"/>
                <w:sz w:val="21"/>
                <w:szCs w:val="21"/>
              </w:rPr>
              <w:t>过程</w:t>
            </w:r>
            <w:r>
              <w:rPr>
                <w:rFonts w:hint="eastAsia" w:ascii="宋体" w:hAnsi="宋体" w:cs="宋体"/>
                <w:sz w:val="21"/>
                <w:szCs w:val="21"/>
                <w:lang w:val="en-US" w:eastAsia="zh-CN"/>
              </w:rPr>
              <w:t>原始</w:t>
            </w:r>
            <w:r>
              <w:rPr>
                <w:rFonts w:hint="eastAsia" w:ascii="宋体" w:hAnsi="宋体" w:eastAsia="宋体" w:cs="宋体"/>
                <w:sz w:val="21"/>
                <w:szCs w:val="21"/>
              </w:rPr>
              <w:t>记录、检验</w:t>
            </w:r>
            <w:r>
              <w:rPr>
                <w:rFonts w:hint="eastAsia" w:ascii="宋体" w:hAnsi="宋体" w:cs="宋体"/>
                <w:sz w:val="21"/>
                <w:szCs w:val="21"/>
                <w:lang w:val="en-US" w:eastAsia="zh-CN"/>
              </w:rPr>
              <w:t>验证</w:t>
            </w:r>
            <w:r>
              <w:rPr>
                <w:rFonts w:hint="eastAsia" w:ascii="宋体" w:hAnsi="宋体" w:eastAsia="宋体" w:cs="宋体"/>
                <w:sz w:val="21"/>
                <w:szCs w:val="21"/>
              </w:rPr>
              <w:t>记录</w:t>
            </w:r>
            <w:r>
              <w:rPr>
                <w:rFonts w:hint="eastAsia" w:ascii="宋体" w:hAnsi="宋体" w:cs="宋体"/>
                <w:sz w:val="21"/>
                <w:szCs w:val="21"/>
                <w:lang w:eastAsia="zh-CN"/>
              </w:rPr>
              <w:t>、</w:t>
            </w:r>
            <w:r>
              <w:rPr>
                <w:rFonts w:hint="eastAsia" w:ascii="宋体" w:hAnsi="宋体" w:eastAsia="宋体" w:cs="宋体"/>
                <w:sz w:val="21"/>
                <w:szCs w:val="21"/>
              </w:rPr>
              <w:t>内部审核检查表、首末次会议记录等，基本满足产品实现需要。</w:t>
            </w:r>
          </w:p>
          <w:p>
            <w:pPr>
              <w:tabs>
                <w:tab w:val="left" w:pos="6597"/>
              </w:tabs>
              <w:spacing w:line="360" w:lineRule="auto"/>
              <w:rPr>
                <w:rFonts w:hint="eastAsia" w:ascii="宋体" w:hAnsi="宋体" w:eastAsia="宋体" w:cs="宋体"/>
                <w:sz w:val="21"/>
                <w:szCs w:val="21"/>
                <w:lang w:eastAsia="zh-CN"/>
              </w:rPr>
            </w:pPr>
            <w:r>
              <w:rPr>
                <w:rFonts w:hint="eastAsia" w:ascii="宋体" w:hAnsi="宋体" w:eastAsia="宋体" w:cs="宋体"/>
                <w:sz w:val="21"/>
                <w:szCs w:val="21"/>
              </w:rPr>
              <w:t>目前策划基本充分</w:t>
            </w:r>
            <w:r>
              <w:rPr>
                <w:rFonts w:hint="eastAsia" w:ascii="宋体" w:hAnsi="宋体" w:eastAsia="宋体" w:cs="宋体"/>
                <w:sz w:val="21"/>
                <w:szCs w:val="21"/>
                <w:lang w:eastAsia="zh-CN"/>
              </w:rPr>
              <w:t>，</w:t>
            </w:r>
            <w:r>
              <w:rPr>
                <w:rFonts w:hint="eastAsia" w:ascii="宋体" w:hAnsi="宋体" w:eastAsia="宋体" w:cs="宋体"/>
                <w:sz w:val="21"/>
                <w:szCs w:val="21"/>
              </w:rPr>
              <w:t>适合于组织的运行</w:t>
            </w:r>
            <w:r>
              <w:rPr>
                <w:rFonts w:hint="eastAsia" w:ascii="宋体" w:hAnsi="宋体" w:cs="宋体"/>
                <w:sz w:val="21"/>
                <w:szCs w:val="21"/>
                <w:lang w:eastAsia="zh-CN"/>
              </w:rPr>
              <w:t>，</w:t>
            </w:r>
            <w:r>
              <w:rPr>
                <w:rFonts w:hint="eastAsia" w:ascii="宋体" w:hAnsi="宋体" w:eastAsia="宋体" w:cs="宋体"/>
                <w:sz w:val="21"/>
                <w:szCs w:val="21"/>
              </w:rPr>
              <w:t>对于非预期变更，及时进行潜在后果评审，并告知相关人员，目前未发生。经识别企业无外包过程</w:t>
            </w:r>
            <w:r>
              <w:rPr>
                <w:rFonts w:hint="eastAsia" w:ascii="宋体" w:hAnsi="宋体" w:eastAsia="宋体" w:cs="宋体"/>
                <w:sz w:val="21"/>
                <w:szCs w:val="21"/>
                <w:lang w:eastAsia="zh-CN"/>
              </w:rPr>
              <w:t>。</w:t>
            </w:r>
          </w:p>
        </w:tc>
        <w:tc>
          <w:tcPr>
            <w:tcW w:w="1352" w:type="dxa"/>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0" w:hRule="atLeast"/>
        </w:trPr>
        <w:tc>
          <w:tcPr>
            <w:tcW w:w="1809" w:type="dxa"/>
            <w:vAlign w:val="center"/>
          </w:tcPr>
          <w:p>
            <w:pPr>
              <w:spacing w:line="360" w:lineRule="auto"/>
              <w:rPr>
                <w:rFonts w:ascii="楷体" w:hAnsi="楷体" w:eastAsia="楷体"/>
                <w:b/>
                <w:sz w:val="24"/>
                <w:szCs w:val="24"/>
              </w:rPr>
            </w:pPr>
            <w:r>
              <w:rPr>
                <w:rFonts w:hint="eastAsia" w:ascii="楷体" w:hAnsi="楷体" w:eastAsia="楷体"/>
                <w:spacing w:val="-10"/>
                <w:sz w:val="24"/>
                <w:szCs w:val="24"/>
              </w:rPr>
              <w:t>产品和服务的设计和开发</w:t>
            </w:r>
          </w:p>
        </w:tc>
        <w:tc>
          <w:tcPr>
            <w:tcW w:w="1311" w:type="dxa"/>
          </w:tcPr>
          <w:p>
            <w:pPr>
              <w:spacing w:line="360" w:lineRule="auto"/>
              <w:rPr>
                <w:rFonts w:ascii="楷体" w:hAnsi="楷体" w:eastAsia="楷体" w:cs="宋体"/>
                <w:bCs/>
                <w:sz w:val="24"/>
                <w:szCs w:val="24"/>
              </w:rPr>
            </w:pPr>
            <w:r>
              <w:rPr>
                <w:rFonts w:hint="eastAsia" w:ascii="楷体" w:hAnsi="楷体" w:eastAsia="楷体" w:cs="宋体"/>
                <w:bCs/>
                <w:sz w:val="24"/>
                <w:szCs w:val="24"/>
              </w:rPr>
              <w:t>Q8.3.1总则</w:t>
            </w:r>
          </w:p>
          <w:p>
            <w:pPr>
              <w:spacing w:line="360" w:lineRule="auto"/>
              <w:rPr>
                <w:rFonts w:hint="eastAsia" w:ascii="楷体" w:hAnsi="楷体" w:eastAsia="楷体" w:cs="宋体"/>
                <w:bCs/>
                <w:sz w:val="24"/>
                <w:szCs w:val="24"/>
              </w:rPr>
            </w:pPr>
            <w:r>
              <w:rPr>
                <w:rFonts w:hint="eastAsia" w:ascii="楷体" w:hAnsi="楷体" w:eastAsia="楷体" w:cs="宋体"/>
                <w:bCs/>
                <w:sz w:val="24"/>
                <w:szCs w:val="24"/>
              </w:rPr>
              <w:t>Q8.3.2设计和开发策划</w:t>
            </w:r>
          </w:p>
          <w:p>
            <w:pPr>
              <w:pStyle w:val="4"/>
              <w:rPr>
                <w:rFonts w:hint="eastAsia" w:ascii="楷体" w:hAnsi="楷体" w:eastAsia="楷体" w:cs="宋体"/>
                <w:bCs/>
                <w:sz w:val="24"/>
                <w:szCs w:val="24"/>
              </w:rPr>
            </w:pPr>
          </w:p>
          <w:p>
            <w:pPr>
              <w:pStyle w:val="4"/>
              <w:rPr>
                <w:rFonts w:hint="eastAsia" w:ascii="楷体" w:hAnsi="楷体" w:eastAsia="楷体" w:cs="宋体"/>
                <w:bCs/>
                <w:sz w:val="24"/>
                <w:szCs w:val="24"/>
              </w:rPr>
            </w:pPr>
          </w:p>
          <w:p>
            <w:pPr>
              <w:pStyle w:val="4"/>
              <w:rPr>
                <w:rFonts w:hint="eastAsia" w:ascii="楷体" w:hAnsi="楷体" w:eastAsia="楷体" w:cs="宋体"/>
                <w:bCs/>
                <w:sz w:val="24"/>
                <w:szCs w:val="24"/>
              </w:rPr>
            </w:pPr>
          </w:p>
          <w:p>
            <w:pPr>
              <w:spacing w:line="360" w:lineRule="auto"/>
              <w:rPr>
                <w:rFonts w:hint="eastAsia" w:ascii="宋体" w:hAnsi="宋体" w:eastAsia="宋体" w:cs="宋体"/>
                <w:bCs/>
                <w:sz w:val="21"/>
                <w:szCs w:val="21"/>
              </w:rPr>
            </w:pPr>
            <w:r>
              <w:rPr>
                <w:rFonts w:hint="eastAsia" w:ascii="宋体" w:hAnsi="宋体" w:eastAsia="宋体" w:cs="宋体"/>
                <w:bCs/>
                <w:sz w:val="21"/>
                <w:szCs w:val="21"/>
              </w:rPr>
              <w:t>Q8.3.3设计和开发输入</w:t>
            </w:r>
          </w:p>
          <w:p>
            <w:pPr>
              <w:pStyle w:val="4"/>
              <w:rPr>
                <w:rFonts w:hint="eastAsia" w:ascii="宋体" w:hAnsi="宋体" w:eastAsia="宋体" w:cs="宋体"/>
                <w:bCs/>
                <w:sz w:val="21"/>
                <w:szCs w:val="21"/>
              </w:rPr>
            </w:pPr>
          </w:p>
          <w:p>
            <w:pPr>
              <w:spacing w:line="360" w:lineRule="auto"/>
              <w:rPr>
                <w:rFonts w:hint="eastAsia" w:ascii="宋体" w:hAnsi="宋体" w:eastAsia="宋体" w:cs="宋体"/>
                <w:sz w:val="21"/>
                <w:szCs w:val="21"/>
              </w:rPr>
            </w:pPr>
            <w:r>
              <w:rPr>
                <w:rFonts w:hint="eastAsia" w:ascii="宋体" w:hAnsi="宋体" w:eastAsia="宋体" w:cs="宋体"/>
                <w:bCs/>
                <w:sz w:val="21"/>
                <w:szCs w:val="21"/>
              </w:rPr>
              <w:t>Q8.3.4设计和开发控制</w:t>
            </w:r>
          </w:p>
          <w:p>
            <w:pPr>
              <w:spacing w:line="360" w:lineRule="auto"/>
              <w:rPr>
                <w:rFonts w:hint="eastAsia" w:ascii="宋体" w:hAnsi="宋体" w:eastAsia="宋体" w:cs="宋体"/>
                <w:sz w:val="21"/>
                <w:szCs w:val="21"/>
              </w:rPr>
            </w:pPr>
            <w:r>
              <w:rPr>
                <w:rFonts w:hint="eastAsia" w:ascii="宋体" w:hAnsi="宋体" w:eastAsia="宋体" w:cs="宋体"/>
                <w:bCs/>
                <w:sz w:val="21"/>
                <w:szCs w:val="21"/>
              </w:rPr>
              <w:t>Q8.3.5设计和开发输出</w:t>
            </w:r>
          </w:p>
          <w:p>
            <w:pPr>
              <w:pStyle w:val="3"/>
              <w:ind w:left="0" w:leftChars="0" w:firstLine="0" w:firstLineChars="0"/>
              <w:rPr>
                <w:rFonts w:ascii="楷体" w:hAnsi="楷体" w:eastAsia="楷体" w:cs="Arial"/>
                <w:sz w:val="24"/>
                <w:szCs w:val="24"/>
              </w:rPr>
            </w:pPr>
            <w:r>
              <w:rPr>
                <w:rFonts w:hint="eastAsia" w:ascii="宋体" w:hAnsi="宋体" w:eastAsia="宋体" w:cs="宋体"/>
                <w:bCs/>
                <w:sz w:val="21"/>
                <w:szCs w:val="21"/>
              </w:rPr>
              <w:t>Q8.3.6设计和开发更改</w:t>
            </w:r>
          </w:p>
        </w:tc>
        <w:tc>
          <w:tcPr>
            <w:tcW w:w="10237" w:type="dxa"/>
          </w:tcPr>
          <w:p>
            <w:pPr>
              <w:spacing w:line="360" w:lineRule="auto"/>
              <w:ind w:firstLine="420" w:firstLineChars="200"/>
            </w:pPr>
            <w:r>
              <w:rPr>
                <w:rFonts w:hint="eastAsia"/>
              </w:rPr>
              <w:t>查编制有《设计与开发控制程序》，文件对设计开发的全过程进行了规范化管理，以确保所设计开发的产品能满足顾客需求或期望和有关法律法规要求。</w:t>
            </w:r>
          </w:p>
          <w:p>
            <w:pPr>
              <w:spacing w:line="360" w:lineRule="auto"/>
              <w:rPr>
                <w:rFonts w:hint="eastAsia" w:ascii="楷体" w:hAnsi="楷体" w:eastAsia="楷体" w:cs="宋体"/>
                <w:bCs/>
                <w:sz w:val="24"/>
                <w:szCs w:val="24"/>
                <w:lang w:eastAsia="zh-CN"/>
              </w:rPr>
            </w:pPr>
            <w:r>
              <w:rPr>
                <w:rFonts w:hint="eastAsia" w:ascii="楷体" w:hAnsi="楷体" w:eastAsia="楷体" w:cs="宋体"/>
                <w:b/>
                <w:bCs w:val="0"/>
                <w:sz w:val="24"/>
                <w:szCs w:val="24"/>
              </w:rPr>
              <w:t>设计和开发策划</w:t>
            </w:r>
            <w:r>
              <w:rPr>
                <w:rFonts w:hint="eastAsia" w:ascii="楷体" w:hAnsi="楷体" w:eastAsia="楷体" w:cs="宋体"/>
                <w:bCs/>
                <w:sz w:val="24"/>
                <w:szCs w:val="24"/>
                <w:lang w:eastAsia="zh-CN"/>
              </w:rPr>
              <w:t>：</w:t>
            </w:r>
          </w:p>
          <w:p>
            <w:pPr>
              <w:spacing w:line="360" w:lineRule="auto"/>
              <w:ind w:firstLine="210" w:firstLineChars="100"/>
              <w:rPr>
                <w:rFonts w:hint="eastAsia"/>
              </w:rPr>
            </w:pPr>
            <w:r>
              <w:rPr>
                <w:rFonts w:hint="eastAsia"/>
              </w:rPr>
              <w:t>产品设计开发依据：市场需求客户、客户意向</w:t>
            </w:r>
            <w:r>
              <w:rPr>
                <w:rFonts w:hint="eastAsia"/>
                <w:lang w:eastAsia="zh-CN"/>
              </w:rPr>
              <w:t>、</w:t>
            </w:r>
            <w:r>
              <w:rPr>
                <w:rFonts w:hint="eastAsia"/>
                <w:lang w:val="en-US" w:eastAsia="zh-CN"/>
              </w:rPr>
              <w:t>公司的设备及开展的项目</w:t>
            </w:r>
            <w:r>
              <w:rPr>
                <w:rFonts w:hint="eastAsia"/>
              </w:rPr>
              <w:t>等。</w:t>
            </w:r>
          </w:p>
          <w:p>
            <w:pPr>
              <w:spacing w:line="360" w:lineRule="auto"/>
              <w:rPr>
                <w:rFonts w:hint="eastAsia"/>
              </w:rPr>
            </w:pPr>
            <w:r>
              <w:rPr>
                <w:rFonts w:hint="eastAsia"/>
                <w:b/>
                <w:bCs/>
              </w:rPr>
              <w:t>设计和开发的输入</w:t>
            </w:r>
            <w:r>
              <w:rPr>
                <w:rFonts w:hint="eastAsia"/>
              </w:rPr>
              <w:t>：提供了《项目建议书》、《设计开发输入清单》。</w:t>
            </w:r>
          </w:p>
          <w:p>
            <w:pPr>
              <w:spacing w:line="360" w:lineRule="auto"/>
              <w:rPr>
                <w:rFonts w:hint="eastAsia"/>
              </w:rPr>
            </w:pPr>
            <w:r>
              <w:rPr>
                <w:rFonts w:hint="eastAsia"/>
                <w:lang w:val="en-US" w:eastAsia="zh-CN"/>
              </w:rPr>
              <w:t>1）</w:t>
            </w:r>
            <w:r>
              <w:rPr>
                <w:rFonts w:hint="eastAsia"/>
              </w:rPr>
              <w:t>项目名称：仪器仪表数据检测系统，</w:t>
            </w:r>
          </w:p>
          <w:p>
            <w:pPr>
              <w:spacing w:line="360" w:lineRule="auto"/>
              <w:rPr>
                <w:rFonts w:hint="eastAsia"/>
              </w:rPr>
            </w:pPr>
            <w:r>
              <w:rPr>
                <w:rFonts w:hint="eastAsia"/>
              </w:rPr>
              <w:t>设计内容：利用计算机程序实现仪器仪表数据检测系的智能处理。</w:t>
            </w:r>
          </w:p>
          <w:p>
            <w:pPr>
              <w:spacing w:line="360" w:lineRule="auto"/>
              <w:rPr>
                <w:rFonts w:hint="eastAsia"/>
              </w:rPr>
            </w:pPr>
            <w:r>
              <w:rPr>
                <w:rFonts w:hint="eastAsia"/>
              </w:rPr>
              <w:t>查到对设计开发输入进行了评审，经评审，设计输入评审通过，</w:t>
            </w:r>
          </w:p>
          <w:p>
            <w:pPr>
              <w:spacing w:line="360" w:lineRule="auto"/>
              <w:rPr>
                <w:rFonts w:hint="eastAsia"/>
              </w:rPr>
            </w:pPr>
            <w:r>
              <w:rPr>
                <w:rFonts w:hint="eastAsia"/>
              </w:rPr>
              <w:t>评审人员：</w:t>
            </w:r>
            <w:r>
              <w:rPr>
                <w:rFonts w:hint="eastAsia"/>
                <w:lang w:eastAsia="zh-CN"/>
              </w:rPr>
              <w:t>胡明飞、李向阳、唐浪</w:t>
            </w:r>
            <w:r>
              <w:rPr>
                <w:rFonts w:hint="eastAsia"/>
              </w:rPr>
              <w:t>等，批准人：周</w:t>
            </w:r>
            <w:r>
              <w:rPr>
                <w:rFonts w:hint="eastAsia"/>
                <w:lang w:eastAsia="zh-CN"/>
              </w:rPr>
              <w:t>洪勇</w:t>
            </w:r>
            <w:r>
              <w:rPr>
                <w:rFonts w:hint="eastAsia"/>
              </w:rPr>
              <w:t>，20</w:t>
            </w:r>
            <w:r>
              <w:rPr>
                <w:rFonts w:hint="eastAsia"/>
                <w:lang w:val="en-US" w:eastAsia="zh-CN"/>
              </w:rPr>
              <w:t>20.</w:t>
            </w:r>
            <w:r>
              <w:rPr>
                <w:rFonts w:hint="eastAsia"/>
              </w:rPr>
              <w:t>1.</w:t>
            </w:r>
            <w:r>
              <w:rPr>
                <w:rFonts w:hint="eastAsia"/>
                <w:lang w:val="en-US" w:eastAsia="zh-CN"/>
              </w:rPr>
              <w:t>5</w:t>
            </w:r>
            <w:r>
              <w:rPr>
                <w:rFonts w:hint="eastAsia"/>
              </w:rPr>
              <w:t>日。</w:t>
            </w:r>
          </w:p>
          <w:p>
            <w:pPr>
              <w:spacing w:line="360" w:lineRule="auto"/>
            </w:pPr>
            <w:r>
              <w:rPr>
                <w:rFonts w:hint="eastAsia"/>
                <w:lang w:val="en-US" w:eastAsia="zh-CN"/>
              </w:rPr>
              <w:t>2）</w:t>
            </w:r>
            <w:r>
              <w:rPr>
                <w:rFonts w:hint="eastAsia"/>
              </w:rPr>
              <w:t>组织提供了</w:t>
            </w:r>
            <w:r>
              <w:rPr>
                <w:rFonts w:hint="eastAsia"/>
                <w:lang w:eastAsia="zh-CN"/>
              </w:rPr>
              <w:t>《</w:t>
            </w:r>
            <w:r>
              <w:rPr>
                <w:rFonts w:hint="eastAsia"/>
                <w:sz w:val="24"/>
              </w:rPr>
              <w:t>NB-lot物联网</w:t>
            </w:r>
            <w:r>
              <w:rPr>
                <w:rFonts w:hint="eastAsia"/>
                <w:lang w:eastAsia="zh-CN"/>
              </w:rPr>
              <w:t>》</w:t>
            </w:r>
            <w:r>
              <w:rPr>
                <w:rFonts w:hint="eastAsia"/>
                <w:lang w:val="en-US" w:eastAsia="zh-CN"/>
              </w:rPr>
              <w:t>等</w:t>
            </w:r>
            <w:r>
              <w:rPr>
                <w:rFonts w:hint="eastAsia"/>
              </w:rPr>
              <w:t>设计开发资料。</w:t>
            </w:r>
          </w:p>
          <w:p>
            <w:pPr>
              <w:spacing w:line="360" w:lineRule="auto"/>
              <w:ind w:firstLine="420" w:firstLineChars="200"/>
            </w:pPr>
            <w:r>
              <w:rPr>
                <w:rFonts w:hint="eastAsia"/>
              </w:rPr>
              <w:t>完整记录了设计开发的策划、输入、输出、评审、验证和确认活动。</w:t>
            </w:r>
          </w:p>
          <w:p>
            <w:pPr>
              <w:spacing w:line="360" w:lineRule="auto"/>
            </w:pPr>
            <w:r>
              <w:rPr>
                <w:rFonts w:hint="eastAsia"/>
                <w:lang w:val="en-US" w:eastAsia="zh-CN"/>
              </w:rPr>
              <w:t>3）</w:t>
            </w:r>
            <w:r>
              <w:rPr>
                <w:rFonts w:hint="eastAsia"/>
              </w:rPr>
              <w:t>抽查</w:t>
            </w:r>
            <w:r>
              <w:rPr>
                <w:rFonts w:hint="eastAsia"/>
                <w:lang w:eastAsia="zh-CN"/>
              </w:rPr>
              <w:t>《</w:t>
            </w:r>
            <w:r>
              <w:rPr>
                <w:rFonts w:hint="eastAsia"/>
                <w:sz w:val="24"/>
              </w:rPr>
              <w:t>NB-lot物联网</w:t>
            </w:r>
            <w:r>
              <w:rPr>
                <w:rFonts w:hint="eastAsia"/>
                <w:lang w:eastAsia="zh-CN"/>
              </w:rPr>
              <w:t>》中</w:t>
            </w:r>
            <w:r>
              <w:rPr>
                <w:rFonts w:hint="eastAsia"/>
                <w:sz w:val="24"/>
              </w:rPr>
              <w:t>LXSWY-15E/20E/25E</w:t>
            </w:r>
            <w:r>
              <w:rPr>
                <w:rFonts w:hint="eastAsia"/>
                <w:sz w:val="24"/>
                <w:lang w:eastAsia="zh-CN"/>
              </w:rPr>
              <w:t>、</w:t>
            </w:r>
            <w:r>
              <w:rPr>
                <w:rFonts w:hint="eastAsia"/>
                <w:sz w:val="24"/>
              </w:rPr>
              <w:t>LXSWY-15E/20E/25E</w:t>
            </w:r>
            <w:r>
              <w:rPr>
                <w:rFonts w:hint="eastAsia"/>
                <w:sz w:val="24"/>
                <w:lang w:eastAsia="zh-CN"/>
              </w:rPr>
              <w:t>、</w:t>
            </w:r>
            <w:r>
              <w:rPr>
                <w:rFonts w:hint="eastAsia"/>
                <w:sz w:val="24"/>
              </w:rPr>
              <w:t>LXSWY-15E/20E/25E</w:t>
            </w:r>
            <w:r>
              <w:rPr>
                <w:rFonts w:hint="eastAsia"/>
                <w:sz w:val="24"/>
                <w:lang w:eastAsia="zh-CN"/>
              </w:rPr>
              <w:t>等</w:t>
            </w:r>
            <w:r>
              <w:rPr>
                <w:rFonts w:hint="eastAsia"/>
              </w:rPr>
              <w:t>的设计开发资料。</w:t>
            </w:r>
          </w:p>
          <w:p>
            <w:pPr>
              <w:spacing w:line="360" w:lineRule="auto"/>
              <w:ind w:firstLine="420" w:firstLineChars="200"/>
            </w:pPr>
            <w:r>
              <w:rPr>
                <w:rFonts w:hint="eastAsia"/>
              </w:rPr>
              <w:t>查《设计开发计划书》，</w:t>
            </w:r>
            <w:r>
              <w:rPr>
                <w:rFonts w:hint="eastAsia"/>
                <w:lang w:val="en-US" w:eastAsia="zh-CN"/>
              </w:rPr>
              <w:t>根据检测市场的智能化和客户意向对仪器仪表的数据处理系统进行</w:t>
            </w:r>
            <w:r>
              <w:rPr>
                <w:rFonts w:hint="eastAsia"/>
              </w:rPr>
              <w:t>设计开发的策划，</w:t>
            </w:r>
            <w:r>
              <w:rPr>
                <w:rFonts w:hint="eastAsia"/>
                <w:lang w:val="en-US" w:eastAsia="zh-CN"/>
              </w:rPr>
              <w:t>提供了</w:t>
            </w:r>
            <w:r>
              <w:rPr>
                <w:rFonts w:hint="eastAsia"/>
              </w:rPr>
              <w:t>包括了设计和开发各个阶段的评审、验证和确认活动，以及设计开发人员分工及职责，编制：</w:t>
            </w:r>
            <w:r>
              <w:rPr>
                <w:rFonts w:hint="eastAsia"/>
                <w:lang w:val="en-US" w:eastAsia="zh-CN"/>
              </w:rPr>
              <w:t>胡明飞</w:t>
            </w:r>
            <w:r>
              <w:rPr>
                <w:rFonts w:hint="eastAsia"/>
              </w:rPr>
              <w:t>，批准：</w:t>
            </w:r>
            <w:r>
              <w:rPr>
                <w:rFonts w:hint="eastAsia"/>
                <w:lang w:val="en-US" w:eastAsia="zh-CN"/>
              </w:rPr>
              <w:t>周洪勇</w:t>
            </w:r>
            <w:r>
              <w:rPr>
                <w:rFonts w:hint="eastAsia"/>
              </w:rPr>
              <w:t>，日期：20</w:t>
            </w:r>
            <w:r>
              <w:rPr>
                <w:rFonts w:hint="eastAsia"/>
                <w:lang w:val="en-US" w:eastAsia="zh-CN"/>
              </w:rPr>
              <w:t>20.1.5</w:t>
            </w:r>
            <w:r>
              <w:rPr>
                <w:rFonts w:hint="eastAsia"/>
              </w:rPr>
              <w:t>日。</w:t>
            </w:r>
          </w:p>
          <w:p>
            <w:pPr>
              <w:spacing w:line="360" w:lineRule="auto"/>
              <w:ind w:firstLine="420" w:firstLineChars="200"/>
              <w:rPr>
                <w:rFonts w:hint="eastAsia"/>
              </w:rPr>
            </w:pPr>
            <w:r>
              <w:rPr>
                <w:rFonts w:hint="eastAsia"/>
              </w:rPr>
              <w:t>基本符合设计开发过程策划的控制要求。</w:t>
            </w:r>
          </w:p>
          <w:p>
            <w:pPr>
              <w:numPr>
                <w:ilvl w:val="0"/>
                <w:numId w:val="4"/>
              </w:numPr>
              <w:spacing w:line="360" w:lineRule="auto"/>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提供计算机软件著作权登记书：</w:t>
            </w:r>
          </w:p>
          <w:p>
            <w:pPr>
              <w:pStyle w:val="2"/>
              <w:rPr>
                <w:rFonts w:hint="eastAsia" w:ascii="宋体" w:hAnsi="宋体" w:eastAsia="宋体" w:cs="宋体"/>
                <w:sz w:val="21"/>
                <w:szCs w:val="21"/>
                <w:lang w:val="en-US" w:eastAsia="zh-CN"/>
              </w:rPr>
            </w:pPr>
          </w:p>
          <w:p>
            <w:pPr>
              <w:numPr>
                <w:ilvl w:val="0"/>
                <w:numId w:val="0"/>
              </w:numPr>
              <w:spacing w:line="360" w:lineRule="auto"/>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5）设计开发更改应进行评审、验证、确认、批准，经查组织按顾客技术要求研发，未发生设计更改情况。</w:t>
            </w:r>
          </w:p>
          <w:p>
            <w:pPr>
              <w:pStyle w:val="3"/>
              <w:ind w:left="0" w:leftChars="0" w:firstLine="0" w:firstLineChars="0"/>
              <w:rPr>
                <w:rFonts w:hint="default"/>
                <w:lang w:val="en-US" w:eastAsia="zh-CN"/>
              </w:rPr>
            </w:pPr>
          </w:p>
        </w:tc>
        <w:tc>
          <w:tcPr>
            <w:tcW w:w="1352" w:type="dxa"/>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809" w:type="dxa"/>
            <w:vAlign w:val="top"/>
          </w:tcPr>
          <w:p>
            <w:pPr>
              <w:spacing w:line="360" w:lineRule="auto"/>
              <w:rPr>
                <w:rFonts w:cs="Times New Roman" w:asciiTheme="minorEastAsia" w:hAnsiTheme="minorEastAsia" w:eastAsiaTheme="minorEastAsia"/>
                <w:b/>
                <w:kern w:val="2"/>
                <w:sz w:val="21"/>
                <w:szCs w:val="21"/>
                <w:lang w:val="en-US" w:eastAsia="zh-CN" w:bidi="ar-SA"/>
              </w:rPr>
            </w:pPr>
            <w:r>
              <w:rPr>
                <w:rFonts w:hint="eastAsia" w:asciiTheme="minorEastAsia" w:hAnsiTheme="minorEastAsia" w:eastAsiaTheme="minorEastAsia"/>
                <w:bCs/>
                <w:sz w:val="21"/>
                <w:szCs w:val="21"/>
              </w:rPr>
              <w:t>变更控制</w:t>
            </w:r>
          </w:p>
        </w:tc>
        <w:tc>
          <w:tcPr>
            <w:tcW w:w="1311" w:type="dxa"/>
            <w:vAlign w:val="top"/>
          </w:tcPr>
          <w:p>
            <w:pPr>
              <w:spacing w:line="360" w:lineRule="auto"/>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Q8.5.6</w:t>
            </w:r>
          </w:p>
          <w:p>
            <w:pPr>
              <w:spacing w:line="360" w:lineRule="auto"/>
              <w:rPr>
                <w:rFonts w:hint="eastAsia" w:cs="Times New Roman" w:asciiTheme="minorEastAsia" w:hAnsiTheme="minorEastAsia" w:eastAsiaTheme="minorEastAsia"/>
                <w:b/>
                <w:kern w:val="2"/>
                <w:sz w:val="21"/>
                <w:szCs w:val="21"/>
                <w:lang w:val="en-US" w:eastAsia="zh-CN" w:bidi="ar-SA"/>
              </w:rPr>
            </w:pPr>
          </w:p>
        </w:tc>
        <w:tc>
          <w:tcPr>
            <w:tcW w:w="10237" w:type="dxa"/>
            <w:vAlign w:val="top"/>
          </w:tcPr>
          <w:p>
            <w:pPr>
              <w:spacing w:line="360" w:lineRule="auto"/>
              <w:ind w:firstLine="421"/>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对于</w:t>
            </w:r>
            <w:r>
              <w:rPr>
                <w:rFonts w:hint="eastAsia" w:cs="宋体" w:asciiTheme="minorEastAsia" w:hAnsiTheme="minorEastAsia" w:eastAsiaTheme="minorEastAsia"/>
                <w:sz w:val="21"/>
                <w:szCs w:val="21"/>
                <w:lang w:val="en-US" w:eastAsia="zh-CN"/>
              </w:rPr>
              <w:t>计量器具检测、维修、设计</w:t>
            </w:r>
            <w:r>
              <w:rPr>
                <w:rFonts w:hint="eastAsia" w:cs="宋体" w:asciiTheme="minorEastAsia" w:hAnsiTheme="minorEastAsia" w:eastAsiaTheme="minorEastAsia"/>
                <w:sz w:val="21"/>
                <w:szCs w:val="21"/>
              </w:rPr>
              <w:t>过程的更改，公司规定通过《</w:t>
            </w:r>
            <w:r>
              <w:rPr>
                <w:rFonts w:hint="eastAsia" w:cs="宋体" w:asciiTheme="minorEastAsia" w:hAnsiTheme="minorEastAsia" w:eastAsiaTheme="minorEastAsia"/>
                <w:sz w:val="21"/>
                <w:szCs w:val="21"/>
                <w:lang w:val="en-US" w:eastAsia="zh-CN"/>
              </w:rPr>
              <w:t>更改</w:t>
            </w:r>
            <w:r>
              <w:rPr>
                <w:rFonts w:hint="eastAsia" w:cs="宋体" w:asciiTheme="minorEastAsia" w:hAnsiTheme="minorEastAsia" w:eastAsiaTheme="minorEastAsia"/>
                <w:sz w:val="21"/>
                <w:szCs w:val="21"/>
              </w:rPr>
              <w:t>通知单》的形式重新下达。</w:t>
            </w:r>
            <w:r>
              <w:rPr>
                <w:rFonts w:hint="eastAsia" w:cs="宋体" w:asciiTheme="minorEastAsia" w:hAnsiTheme="minorEastAsia" w:eastAsiaTheme="minorEastAsia"/>
                <w:sz w:val="21"/>
                <w:szCs w:val="21"/>
                <w:lang w:val="en-US" w:eastAsia="zh-CN"/>
              </w:rPr>
              <w:t>计量器具检测</w:t>
            </w:r>
            <w:r>
              <w:rPr>
                <w:rFonts w:hint="eastAsia" w:cs="宋体" w:asciiTheme="minorEastAsia" w:hAnsiTheme="minorEastAsia" w:eastAsiaTheme="minorEastAsia"/>
                <w:sz w:val="21"/>
                <w:szCs w:val="21"/>
              </w:rPr>
              <w:t>过程的更改指令，若涉及到交付时间更改，均有对应的合同更改评审记录，本部门再次通过《</w:t>
            </w:r>
            <w:r>
              <w:rPr>
                <w:rFonts w:hint="eastAsia" w:cs="宋体" w:asciiTheme="minorEastAsia" w:hAnsiTheme="minorEastAsia" w:eastAsiaTheme="minorEastAsia"/>
                <w:sz w:val="21"/>
                <w:szCs w:val="21"/>
                <w:lang w:val="en-US" w:eastAsia="zh-CN"/>
              </w:rPr>
              <w:t>更改</w:t>
            </w:r>
            <w:r>
              <w:rPr>
                <w:rFonts w:hint="eastAsia" w:cs="宋体" w:asciiTheme="minorEastAsia" w:hAnsiTheme="minorEastAsia" w:eastAsiaTheme="minorEastAsia"/>
                <w:sz w:val="21"/>
                <w:szCs w:val="21"/>
              </w:rPr>
              <w:t>通知单》下达。更改的</w:t>
            </w:r>
            <w:r>
              <w:rPr>
                <w:rFonts w:hint="eastAsia" w:cs="宋体" w:asciiTheme="minorEastAsia" w:hAnsiTheme="minorEastAsia" w:eastAsiaTheme="minorEastAsia"/>
                <w:sz w:val="21"/>
                <w:szCs w:val="21"/>
                <w:lang w:val="en-US" w:eastAsia="zh-CN"/>
              </w:rPr>
              <w:t xml:space="preserve"> </w:t>
            </w:r>
            <w:r>
              <w:rPr>
                <w:rFonts w:hint="eastAsia" w:cs="宋体" w:asciiTheme="minorEastAsia" w:hAnsiTheme="minorEastAsia" w:eastAsiaTheme="minorEastAsia"/>
                <w:sz w:val="21"/>
                <w:szCs w:val="21"/>
              </w:rPr>
              <w:t>指令由本部门</w:t>
            </w:r>
            <w:r>
              <w:rPr>
                <w:rFonts w:hint="eastAsia" w:cs="宋体" w:asciiTheme="minorEastAsia" w:hAnsiTheme="minorEastAsia" w:eastAsiaTheme="minorEastAsia"/>
                <w:sz w:val="21"/>
                <w:szCs w:val="21"/>
                <w:lang w:val="en-US" w:eastAsia="zh-CN"/>
              </w:rPr>
              <w:t>技术</w:t>
            </w:r>
            <w:r>
              <w:rPr>
                <w:rFonts w:hint="eastAsia" w:cs="宋体" w:asciiTheme="minorEastAsia" w:hAnsiTheme="minorEastAsia" w:eastAsiaTheme="minorEastAsia"/>
                <w:sz w:val="21"/>
                <w:szCs w:val="21"/>
              </w:rPr>
              <w:t>负责人签发。</w:t>
            </w:r>
          </w:p>
          <w:p>
            <w:pPr>
              <w:spacing w:line="360" w:lineRule="auto"/>
              <w:ind w:firstLine="421" w:firstLineChars="0"/>
              <w:rPr>
                <w:rFonts w:hint="eastAsia" w:cs="宋体" w:asciiTheme="minorEastAsia" w:hAnsiTheme="minorEastAsia" w:eastAsiaTheme="minorEastAsia"/>
                <w:kern w:val="2"/>
                <w:sz w:val="24"/>
                <w:szCs w:val="24"/>
                <w:lang w:val="en-US" w:eastAsia="zh-CN" w:bidi="ar-SA"/>
              </w:rPr>
            </w:pPr>
            <w:r>
              <w:rPr>
                <w:rFonts w:hint="eastAsia" w:cs="宋体" w:asciiTheme="minorEastAsia" w:hAnsiTheme="minorEastAsia" w:eastAsiaTheme="minorEastAsia"/>
                <w:sz w:val="21"/>
                <w:szCs w:val="21"/>
              </w:rPr>
              <w:t>目前无过程的更改。</w:t>
            </w:r>
          </w:p>
        </w:tc>
        <w:tc>
          <w:tcPr>
            <w:tcW w:w="1352" w:type="dxa"/>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dxa"/>
            <w:vAlign w:val="center"/>
          </w:tcPr>
          <w:p>
            <w:pPr>
              <w:spacing w:line="360" w:lineRule="auto"/>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lang w:val="en-US" w:eastAsia="zh-CN"/>
              </w:rPr>
              <w:t>生产和服务</w:t>
            </w:r>
            <w:r>
              <w:rPr>
                <w:rFonts w:hint="eastAsia" w:ascii="宋体" w:hAnsi="宋体" w:eastAsia="宋体" w:cs="宋体"/>
                <w:color w:val="000000" w:themeColor="text1"/>
                <w:sz w:val="21"/>
                <w:szCs w:val="21"/>
              </w:rPr>
              <w:t>提供的控制</w:t>
            </w:r>
          </w:p>
          <w:p>
            <w:pPr>
              <w:spacing w:line="360" w:lineRule="auto"/>
              <w:ind w:firstLine="420" w:firstLineChars="200"/>
              <w:rPr>
                <w:rFonts w:hint="eastAsia" w:ascii="宋体" w:hAnsi="宋体" w:eastAsia="宋体" w:cs="宋体"/>
                <w:color w:val="000000" w:themeColor="text1"/>
                <w:sz w:val="21"/>
                <w:szCs w:val="21"/>
              </w:rPr>
            </w:pPr>
          </w:p>
        </w:tc>
        <w:tc>
          <w:tcPr>
            <w:tcW w:w="1311" w:type="dxa"/>
          </w:tcPr>
          <w:p>
            <w:pPr>
              <w:spacing w:line="360" w:lineRule="auto"/>
              <w:ind w:firstLine="420" w:firstLineChars="200"/>
              <w:rPr>
                <w:rFonts w:hint="eastAsia" w:ascii="宋体" w:hAnsi="宋体" w:eastAsia="宋体" w:cs="宋体"/>
                <w:color w:val="000000" w:themeColor="text1"/>
                <w:sz w:val="21"/>
                <w:szCs w:val="21"/>
              </w:rPr>
            </w:pPr>
          </w:p>
          <w:p>
            <w:pPr>
              <w:spacing w:line="360" w:lineRule="auto"/>
              <w:rPr>
                <w:rFonts w:hint="eastAsia" w:ascii="宋体" w:hAnsi="宋体" w:eastAsia="宋体" w:cs="宋体"/>
                <w:color w:val="000000" w:themeColor="text1"/>
                <w:sz w:val="21"/>
                <w:szCs w:val="21"/>
              </w:rPr>
            </w:pPr>
          </w:p>
          <w:p>
            <w:pPr>
              <w:spacing w:line="360" w:lineRule="auto"/>
              <w:ind w:firstLine="420" w:firstLineChars="200"/>
              <w:rPr>
                <w:rFonts w:hint="eastAsia" w:ascii="宋体" w:hAnsi="宋体" w:eastAsia="宋体" w:cs="宋体"/>
                <w:color w:val="000000" w:themeColor="text1"/>
                <w:sz w:val="21"/>
                <w:szCs w:val="21"/>
              </w:rPr>
            </w:pPr>
          </w:p>
          <w:p>
            <w:pPr>
              <w:spacing w:line="360" w:lineRule="auto"/>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Q8.5.1</w:t>
            </w:r>
          </w:p>
          <w:p>
            <w:pPr>
              <w:spacing w:line="360" w:lineRule="auto"/>
              <w:ind w:firstLine="420" w:firstLineChars="200"/>
              <w:rPr>
                <w:rFonts w:hint="eastAsia" w:ascii="宋体" w:hAnsi="宋体" w:eastAsia="宋体" w:cs="宋体"/>
                <w:color w:val="000000" w:themeColor="text1"/>
                <w:sz w:val="21"/>
                <w:szCs w:val="21"/>
              </w:rPr>
            </w:pPr>
          </w:p>
          <w:p>
            <w:pPr>
              <w:spacing w:line="360" w:lineRule="auto"/>
              <w:ind w:firstLine="420" w:firstLineChars="200"/>
              <w:rPr>
                <w:rFonts w:hint="eastAsia" w:ascii="宋体" w:hAnsi="宋体" w:eastAsia="宋体" w:cs="宋体"/>
                <w:color w:val="000000" w:themeColor="text1"/>
                <w:sz w:val="21"/>
                <w:szCs w:val="21"/>
              </w:rPr>
            </w:pPr>
          </w:p>
          <w:p>
            <w:pPr>
              <w:spacing w:line="360" w:lineRule="auto"/>
              <w:ind w:firstLine="420" w:firstLineChars="200"/>
              <w:rPr>
                <w:rFonts w:hint="eastAsia" w:ascii="宋体" w:hAnsi="宋体" w:eastAsia="宋体" w:cs="宋体"/>
                <w:color w:val="000000" w:themeColor="text1"/>
                <w:sz w:val="21"/>
                <w:szCs w:val="21"/>
              </w:rPr>
            </w:pPr>
          </w:p>
          <w:p>
            <w:pPr>
              <w:spacing w:line="360" w:lineRule="auto"/>
              <w:ind w:firstLine="420" w:firstLineChars="200"/>
              <w:rPr>
                <w:rFonts w:hint="eastAsia" w:ascii="宋体" w:hAnsi="宋体" w:eastAsia="宋体" w:cs="宋体"/>
                <w:color w:val="000000" w:themeColor="text1"/>
                <w:sz w:val="21"/>
                <w:szCs w:val="21"/>
              </w:rPr>
            </w:pPr>
          </w:p>
          <w:p>
            <w:pPr>
              <w:spacing w:line="360" w:lineRule="auto"/>
              <w:ind w:firstLine="420" w:firstLineChars="200"/>
              <w:rPr>
                <w:rFonts w:hint="eastAsia" w:ascii="宋体" w:hAnsi="宋体" w:eastAsia="宋体" w:cs="宋体"/>
                <w:color w:val="000000" w:themeColor="text1"/>
                <w:sz w:val="21"/>
                <w:szCs w:val="21"/>
                <w:lang w:eastAsia="zh-CN"/>
              </w:rPr>
            </w:pPr>
          </w:p>
        </w:tc>
        <w:tc>
          <w:tcPr>
            <w:tcW w:w="10237" w:type="dxa"/>
          </w:tcPr>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公司目前主要从事产业计量、环保节能技术软件的研发</w:t>
            </w:r>
          </w:p>
          <w:p>
            <w:pPr>
              <w:spacing w:line="360" w:lineRule="auto"/>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设计服务流程</w:t>
            </w:r>
          </w:p>
          <w:p>
            <w:pPr>
              <w:spacing w:line="360" w:lineRule="auto"/>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客户设计咨询---技术确认---</w:t>
            </w:r>
            <w:r>
              <w:rPr>
                <w:rFonts w:hint="eastAsia" w:ascii="宋体" w:hAnsi="宋体" w:cs="宋体"/>
                <w:sz w:val="21"/>
                <w:szCs w:val="21"/>
                <w:lang w:val="en-US" w:eastAsia="zh-CN"/>
              </w:rPr>
              <w:t>技术部</w:t>
            </w:r>
            <w:r>
              <w:rPr>
                <w:rFonts w:hint="eastAsia" w:ascii="宋体" w:hAnsi="宋体" w:eastAsia="宋体" w:cs="宋体"/>
                <w:sz w:val="21"/>
                <w:szCs w:val="21"/>
                <w:lang w:val="en-US" w:eastAsia="zh-CN"/>
              </w:rPr>
              <w:t>出具设计方案---客户确认方案---出具设计方案---用户</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公司编制有《设计开发控制程序》、《电脑管理制度》、《档案管理制度》，可以指导并规范员工的实际操作。</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产品设计开发过程中使用的电脑及系统软件工具等设备能满足要求。公司目前现有一支专业的产品设计开发人员，全部是本科及研究生以上学历，可满足设计开发服务要求。</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抽查到</w:t>
            </w:r>
            <w:r>
              <w:rPr>
                <w:rFonts w:hint="eastAsia" w:ascii="宋体" w:hAnsi="宋体" w:eastAsia="宋体" w:cs="宋体"/>
                <w:sz w:val="21"/>
                <w:szCs w:val="21"/>
                <w:lang w:val="en-US" w:eastAsia="zh-CN"/>
              </w:rPr>
              <w:t>仪器仪表数据检测系统</w:t>
            </w:r>
            <w:r>
              <w:rPr>
                <w:rFonts w:hint="eastAsia" w:ascii="宋体" w:hAnsi="宋体" w:eastAsia="宋体" w:cs="宋体"/>
                <w:sz w:val="21"/>
                <w:szCs w:val="21"/>
                <w:lang w:eastAsia="zh-CN"/>
              </w:rPr>
              <w:t>、节能环保设备技术服务系统、计量器具故障排查系统</w:t>
            </w:r>
            <w:r>
              <w:rPr>
                <w:rFonts w:hint="eastAsia" w:ascii="宋体" w:hAnsi="宋体" w:eastAsia="宋体" w:cs="宋体"/>
                <w:sz w:val="21"/>
                <w:szCs w:val="21"/>
                <w:lang w:eastAsia="zh-TW"/>
              </w:rPr>
              <w:t>整套设计开发资料。公司按照设计开发程序要求安排了适当的设计开发策划、评审、验证、确认活动，所设计</w:t>
            </w:r>
            <w:r>
              <w:rPr>
                <w:rFonts w:hint="eastAsia" w:ascii="宋体" w:hAnsi="宋体" w:eastAsia="宋体" w:cs="宋体"/>
                <w:sz w:val="21"/>
                <w:szCs w:val="21"/>
                <w:lang w:val="en-US" w:eastAsia="zh-CN"/>
              </w:rPr>
              <w:t>计量</w:t>
            </w:r>
            <w:r>
              <w:rPr>
                <w:rFonts w:hint="eastAsia" w:ascii="宋体" w:hAnsi="宋体" w:eastAsia="宋体" w:cs="宋体"/>
                <w:sz w:val="21"/>
                <w:szCs w:val="21"/>
                <w:lang w:eastAsia="zh-TW"/>
              </w:rPr>
              <w:t>设备</w:t>
            </w:r>
            <w:r>
              <w:rPr>
                <w:rFonts w:hint="eastAsia" w:ascii="宋体" w:hAnsi="宋体" w:eastAsia="宋体" w:cs="宋体"/>
                <w:sz w:val="21"/>
                <w:szCs w:val="21"/>
                <w:lang w:val="en-US" w:eastAsia="zh-CN"/>
              </w:rPr>
              <w:t>的软件</w:t>
            </w:r>
            <w:r>
              <w:rPr>
                <w:rFonts w:hint="eastAsia" w:ascii="宋体" w:hAnsi="宋体" w:eastAsia="宋体" w:cs="宋体"/>
                <w:sz w:val="21"/>
                <w:szCs w:val="21"/>
                <w:lang w:eastAsia="zh-TW"/>
              </w:rPr>
              <w:t>经过使用后，确认符合要求。</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产品设计开发过程中及时进行了数据备份，验收合格后由公司</w:t>
            </w:r>
            <w:r>
              <w:rPr>
                <w:rFonts w:hint="eastAsia" w:ascii="宋体" w:hAnsi="宋体" w:cs="宋体"/>
                <w:sz w:val="21"/>
                <w:szCs w:val="21"/>
                <w:lang w:val="en-US" w:eastAsia="zh-CN"/>
              </w:rPr>
              <w:t>技术部</w:t>
            </w:r>
            <w:r>
              <w:rPr>
                <w:rFonts w:hint="eastAsia" w:ascii="宋体" w:hAnsi="宋体" w:eastAsia="宋体" w:cs="宋体"/>
                <w:sz w:val="21"/>
                <w:szCs w:val="21"/>
                <w:lang w:eastAsia="zh-TW"/>
              </w:rPr>
              <w:t>存档。</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设计服务过程通过专人负责、产品专用标识和密码防护等措施起到了防错作用。</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研发产品经过测试和确认合格后方可放行交付，发现设计问题时执行售后服务相关规定，目前没有发生。</w:t>
            </w:r>
          </w:p>
        </w:tc>
        <w:tc>
          <w:tcPr>
            <w:tcW w:w="1352" w:type="dxa"/>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1809" w:type="dxa"/>
            <w:vAlign w:val="center"/>
          </w:tcPr>
          <w:p>
            <w:pPr>
              <w:rPr>
                <w:rFonts w:ascii="楷体" w:hAnsi="楷体" w:eastAsia="楷体"/>
                <w:sz w:val="24"/>
                <w:szCs w:val="24"/>
              </w:rPr>
            </w:pPr>
            <w:r>
              <w:rPr>
                <w:rFonts w:hint="eastAsia" w:ascii="楷体" w:hAnsi="楷体" w:eastAsia="楷体"/>
                <w:sz w:val="24"/>
                <w:szCs w:val="24"/>
              </w:rPr>
              <w:t>标识和可追溯性</w:t>
            </w:r>
          </w:p>
        </w:tc>
        <w:tc>
          <w:tcPr>
            <w:tcW w:w="1311" w:type="dxa"/>
            <w:vAlign w:val="center"/>
          </w:tcPr>
          <w:p>
            <w:pPr>
              <w:rPr>
                <w:rFonts w:ascii="楷体" w:hAnsi="楷体" w:eastAsia="楷体"/>
                <w:sz w:val="24"/>
                <w:szCs w:val="24"/>
              </w:rPr>
            </w:pPr>
            <w:r>
              <w:rPr>
                <w:rFonts w:hint="eastAsia" w:ascii="楷体" w:hAnsi="楷体" w:eastAsia="楷体"/>
                <w:sz w:val="24"/>
                <w:szCs w:val="24"/>
              </w:rPr>
              <w:t>Q8.5.2</w:t>
            </w:r>
          </w:p>
        </w:tc>
        <w:tc>
          <w:tcPr>
            <w:tcW w:w="10237" w:type="dxa"/>
            <w:vAlign w:val="center"/>
          </w:tcPr>
          <w:p>
            <w:pPr>
              <w:spacing w:line="360" w:lineRule="auto"/>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公司编制《档案管理制度》。</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防止在设计过程</w:t>
            </w:r>
            <w:r>
              <w:rPr>
                <w:rFonts w:hint="eastAsia" w:ascii="宋体" w:hAnsi="宋体" w:eastAsia="宋体" w:cs="宋体"/>
                <w:sz w:val="21"/>
                <w:szCs w:val="21"/>
                <w:lang w:val="en-US" w:eastAsia="zh-CN"/>
              </w:rPr>
              <w:t>及检测原始数据</w:t>
            </w:r>
            <w:r>
              <w:rPr>
                <w:rFonts w:hint="eastAsia" w:ascii="宋体" w:hAnsi="宋体" w:eastAsia="宋体" w:cs="宋体"/>
                <w:sz w:val="21"/>
                <w:szCs w:val="21"/>
                <w:lang w:eastAsia="zh-TW"/>
              </w:rPr>
              <w:t>引起混淆和误用，通常文件</w:t>
            </w:r>
            <w:r>
              <w:rPr>
                <w:rFonts w:hint="eastAsia" w:ascii="宋体" w:hAnsi="宋体" w:eastAsia="宋体" w:cs="宋体"/>
                <w:sz w:val="21"/>
                <w:szCs w:val="21"/>
                <w:lang w:val="en-US" w:eastAsia="zh-CN"/>
              </w:rPr>
              <w:t>的编号与</w:t>
            </w:r>
            <w:r>
              <w:rPr>
                <w:rFonts w:hint="eastAsia" w:ascii="宋体" w:hAnsi="宋体" w:eastAsia="宋体" w:cs="宋体"/>
                <w:sz w:val="21"/>
                <w:szCs w:val="21"/>
                <w:lang w:eastAsia="zh-TW"/>
              </w:rPr>
              <w:t>电脑中数据</w:t>
            </w:r>
            <w:r>
              <w:rPr>
                <w:rFonts w:hint="eastAsia" w:ascii="宋体" w:hAnsi="宋体" w:eastAsia="宋体" w:cs="宋体"/>
                <w:sz w:val="21"/>
                <w:szCs w:val="21"/>
                <w:lang w:val="en-US" w:eastAsia="zh-CN"/>
              </w:rPr>
              <w:t>一致</w:t>
            </w:r>
            <w:r>
              <w:rPr>
                <w:rFonts w:hint="eastAsia" w:ascii="宋体" w:hAnsi="宋体" w:eastAsia="宋体" w:cs="宋体"/>
                <w:sz w:val="21"/>
                <w:szCs w:val="21"/>
                <w:lang w:eastAsia="zh-TW"/>
              </w:rPr>
              <w:t>产品标识表明了以下特征：</w:t>
            </w:r>
          </w:p>
          <w:p>
            <w:pPr>
              <w:spacing w:line="360" w:lineRule="auto"/>
              <w:ind w:firstLine="420" w:firstLineChars="20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a）</w:t>
            </w:r>
            <w:r>
              <w:rPr>
                <w:rFonts w:hint="eastAsia" w:ascii="宋体" w:hAnsi="宋体" w:eastAsia="宋体" w:cs="宋体"/>
                <w:sz w:val="21"/>
                <w:szCs w:val="21"/>
                <w:lang w:eastAsia="zh-TW"/>
              </w:rPr>
              <w:t>名称</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出厂编号、型号/规格、制造单位、证书编号、依据标准、环境温度、环境湿度、软件版本号、日期、人员等信息。</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b）测量状态标识，可在设计验证的有关规定中阐明测量状态的标识，一般在校审记录中标明测量状态。</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c）可追溯性标识</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产品标识的管理符合标准要求。</w:t>
            </w:r>
          </w:p>
        </w:tc>
        <w:tc>
          <w:tcPr>
            <w:tcW w:w="1352" w:type="dxa"/>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1809" w:type="dxa"/>
            <w:vAlign w:val="center"/>
          </w:tcPr>
          <w:p>
            <w:pPr>
              <w:rPr>
                <w:rFonts w:ascii="楷体" w:hAnsi="楷体" w:eastAsia="楷体"/>
                <w:sz w:val="24"/>
                <w:szCs w:val="24"/>
              </w:rPr>
            </w:pPr>
            <w:r>
              <w:rPr>
                <w:rFonts w:hint="eastAsia" w:ascii="楷体" w:hAnsi="楷体" w:eastAsia="楷体"/>
                <w:sz w:val="24"/>
                <w:szCs w:val="24"/>
              </w:rPr>
              <w:t>防护</w:t>
            </w:r>
          </w:p>
        </w:tc>
        <w:tc>
          <w:tcPr>
            <w:tcW w:w="1311" w:type="dxa"/>
            <w:vAlign w:val="center"/>
          </w:tcPr>
          <w:p>
            <w:pPr>
              <w:rPr>
                <w:rFonts w:ascii="楷体" w:hAnsi="楷体" w:eastAsia="楷体"/>
                <w:sz w:val="24"/>
                <w:szCs w:val="24"/>
              </w:rPr>
            </w:pPr>
            <w:r>
              <w:rPr>
                <w:rFonts w:ascii="楷体" w:hAnsi="楷体" w:eastAsia="楷体"/>
                <w:sz w:val="24"/>
                <w:szCs w:val="24"/>
              </w:rPr>
              <w:t>Q8.5.4</w:t>
            </w:r>
          </w:p>
        </w:tc>
        <w:tc>
          <w:tcPr>
            <w:tcW w:w="10237" w:type="dxa"/>
            <w:vAlign w:val="center"/>
          </w:tcPr>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cs="宋体"/>
                <w:sz w:val="21"/>
                <w:szCs w:val="21"/>
                <w:lang w:val="en-US" w:eastAsia="zh-CN"/>
              </w:rPr>
              <w:t>技术部</w:t>
            </w:r>
            <w:r>
              <w:rPr>
                <w:rFonts w:hint="eastAsia" w:ascii="宋体" w:hAnsi="宋体" w:eastAsia="宋体" w:cs="宋体"/>
                <w:sz w:val="21"/>
                <w:szCs w:val="21"/>
                <w:lang w:eastAsia="zh-TW"/>
              </w:rPr>
              <w:t>负责档案文件、编程代码的防护，包括标识、搬运、包装、贮存和保护。</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设计</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检测</w:t>
            </w:r>
            <w:r>
              <w:rPr>
                <w:rFonts w:hint="eastAsia" w:ascii="宋体" w:hAnsi="宋体" w:eastAsia="宋体" w:cs="宋体"/>
                <w:sz w:val="21"/>
                <w:szCs w:val="21"/>
                <w:lang w:eastAsia="zh-TW"/>
              </w:rPr>
              <w:t>的文件</w:t>
            </w:r>
            <w:r>
              <w:rPr>
                <w:rFonts w:hint="eastAsia" w:ascii="宋体" w:hAnsi="宋体" w:eastAsia="宋体" w:cs="宋体"/>
                <w:sz w:val="21"/>
                <w:szCs w:val="21"/>
                <w:lang w:eastAsia="zh-CN"/>
              </w:rPr>
              <w:t>、</w:t>
            </w:r>
            <w:r>
              <w:rPr>
                <w:rFonts w:hint="eastAsia" w:ascii="宋体" w:hAnsi="宋体" w:eastAsia="宋体" w:cs="宋体"/>
                <w:sz w:val="21"/>
                <w:szCs w:val="21"/>
                <w:lang w:eastAsia="zh-TW"/>
              </w:rPr>
              <w:t>在内部交接和交付顾客期间，包括存档期内，都符合相关防护要求。</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现场检查：档案橱内文件分类存放，有专用文件夹，标明了文件档案的名称。档案橱上锁保密，电脑设置了密码，安装有电脑保密系统软件，文件编程代码有密码保护。</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产品防护的管理符合标准要求。</w:t>
            </w:r>
          </w:p>
        </w:tc>
        <w:tc>
          <w:tcPr>
            <w:tcW w:w="1352" w:type="dxa"/>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4" w:hRule="atLeast"/>
        </w:trPr>
        <w:tc>
          <w:tcPr>
            <w:tcW w:w="1809" w:type="dxa"/>
            <w:vAlign w:val="center"/>
          </w:tcPr>
          <w:p>
            <w:pPr>
              <w:rPr>
                <w:rFonts w:ascii="楷体" w:hAnsi="楷体" w:eastAsia="楷体" w:cs="楷体"/>
                <w:sz w:val="24"/>
                <w:szCs w:val="24"/>
              </w:rPr>
            </w:pPr>
            <w:r>
              <w:rPr>
                <w:rFonts w:hint="eastAsia" w:ascii="楷体" w:hAnsi="楷体" w:eastAsia="楷体" w:cs="楷体"/>
                <w:sz w:val="24"/>
                <w:szCs w:val="24"/>
              </w:rPr>
              <w:t>顾客或外部供方财产</w:t>
            </w:r>
          </w:p>
        </w:tc>
        <w:tc>
          <w:tcPr>
            <w:tcW w:w="1311" w:type="dxa"/>
            <w:vAlign w:val="center"/>
          </w:tcPr>
          <w:p>
            <w:pPr>
              <w:rPr>
                <w:rFonts w:ascii="楷体" w:hAnsi="楷体" w:eastAsia="楷体" w:cs="楷体"/>
                <w:sz w:val="24"/>
                <w:szCs w:val="24"/>
              </w:rPr>
            </w:pPr>
            <w:r>
              <w:rPr>
                <w:rFonts w:hint="eastAsia" w:ascii="楷体" w:hAnsi="楷体" w:eastAsia="楷体" w:cs="楷体"/>
                <w:sz w:val="24"/>
                <w:szCs w:val="24"/>
              </w:rPr>
              <w:t>Q8.5.3</w:t>
            </w:r>
          </w:p>
        </w:tc>
        <w:tc>
          <w:tcPr>
            <w:tcW w:w="10237" w:type="dxa"/>
            <w:vAlign w:val="center"/>
          </w:tcPr>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该公司顾客或外部财产主要为顾客的技术要求、商业信息和订单合同，现场未发现有其他顾客财产的涉及。客户财产由</w:t>
            </w:r>
            <w:r>
              <w:rPr>
                <w:rFonts w:hint="eastAsia" w:ascii="宋体" w:hAnsi="宋体" w:cs="宋体"/>
                <w:sz w:val="21"/>
                <w:szCs w:val="21"/>
                <w:lang w:val="en-US" w:eastAsia="zh-CN"/>
              </w:rPr>
              <w:t>技术部</w:t>
            </w:r>
            <w:r>
              <w:rPr>
                <w:rFonts w:hint="eastAsia" w:ascii="宋体" w:hAnsi="宋体" w:eastAsia="宋体" w:cs="宋体"/>
                <w:sz w:val="21"/>
                <w:szCs w:val="21"/>
                <w:lang w:eastAsia="zh-TW"/>
              </w:rPr>
              <w:t>负责管理，经查未发生客户财产丢失或损坏以及顾客的保密信息外泄的情况。</w:t>
            </w:r>
          </w:p>
        </w:tc>
        <w:tc>
          <w:tcPr>
            <w:tcW w:w="1352" w:type="dxa"/>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atLeast"/>
        </w:trPr>
        <w:tc>
          <w:tcPr>
            <w:tcW w:w="1809" w:type="dxa"/>
            <w:vAlign w:val="center"/>
          </w:tcPr>
          <w:p>
            <w:pPr>
              <w:rPr>
                <w:rFonts w:ascii="楷体" w:hAnsi="楷体" w:eastAsia="楷体"/>
                <w:sz w:val="24"/>
                <w:szCs w:val="24"/>
              </w:rPr>
            </w:pPr>
            <w:r>
              <w:rPr>
                <w:rFonts w:hint="eastAsia" w:ascii="楷体" w:hAnsi="楷体" w:eastAsia="楷体"/>
                <w:sz w:val="24"/>
                <w:szCs w:val="24"/>
              </w:rPr>
              <w:t>交付后的活动</w:t>
            </w:r>
          </w:p>
        </w:tc>
        <w:tc>
          <w:tcPr>
            <w:tcW w:w="1311" w:type="dxa"/>
          </w:tcPr>
          <w:p>
            <w:pPr>
              <w:spacing w:line="360" w:lineRule="auto"/>
              <w:rPr>
                <w:rFonts w:ascii="楷体" w:hAnsi="楷体" w:eastAsia="楷体"/>
                <w:sz w:val="24"/>
                <w:szCs w:val="24"/>
              </w:rPr>
            </w:pPr>
          </w:p>
          <w:p>
            <w:pPr>
              <w:spacing w:line="360" w:lineRule="auto"/>
              <w:rPr>
                <w:rFonts w:ascii="楷体" w:hAnsi="楷体" w:eastAsia="楷体"/>
                <w:sz w:val="24"/>
                <w:szCs w:val="24"/>
              </w:rPr>
            </w:pPr>
          </w:p>
          <w:p>
            <w:pPr>
              <w:spacing w:line="360" w:lineRule="auto"/>
              <w:rPr>
                <w:rFonts w:ascii="楷体" w:hAnsi="楷体" w:eastAsia="楷体" w:cs="宋体"/>
                <w:bCs/>
                <w:sz w:val="24"/>
                <w:szCs w:val="24"/>
              </w:rPr>
            </w:pPr>
            <w:r>
              <w:rPr>
                <w:rFonts w:hint="eastAsia" w:ascii="楷体" w:hAnsi="楷体" w:eastAsia="楷体"/>
                <w:sz w:val="24"/>
                <w:szCs w:val="24"/>
                <w:lang w:val="en-US" w:eastAsia="zh-CN"/>
              </w:rPr>
              <w:t>Q:</w:t>
            </w:r>
            <w:bookmarkStart w:id="1" w:name="_GoBack"/>
            <w:bookmarkEnd w:id="1"/>
            <w:r>
              <w:rPr>
                <w:rFonts w:ascii="楷体" w:hAnsi="楷体" w:eastAsia="楷体"/>
                <w:sz w:val="24"/>
                <w:szCs w:val="24"/>
              </w:rPr>
              <w:t>8.5.5</w:t>
            </w:r>
            <w:r>
              <w:rPr>
                <w:rFonts w:hint="eastAsia" w:ascii="楷体" w:hAnsi="楷体" w:eastAsia="楷体" w:cs="宋体"/>
                <w:bCs/>
                <w:sz w:val="24"/>
                <w:szCs w:val="24"/>
              </w:rPr>
              <w:t xml:space="preserve"> </w:t>
            </w:r>
          </w:p>
        </w:tc>
        <w:tc>
          <w:tcPr>
            <w:tcW w:w="10237" w:type="dxa"/>
            <w:vAlign w:val="center"/>
          </w:tcPr>
          <w:p>
            <w:pPr>
              <w:spacing w:line="360" w:lineRule="auto"/>
              <w:ind w:firstLine="420" w:firstLineChars="20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与客户业务负责人进行沟通：组织通过与客户签订合同的形式对交付后的活动进行规定；内容包括了：法律法规要求，交付后不合格的处理，产品的用途，顾客的要求等；</w:t>
            </w:r>
          </w:p>
          <w:p>
            <w:pPr>
              <w:spacing w:line="360" w:lineRule="auto"/>
              <w:ind w:firstLine="420" w:firstLineChars="20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暂无交付后违反法律法规要求、违法合同要求、严重客户投诉的情况，据负责人介绍如以后有会收到客户投诉通过邮件或者会议将信息传递给相关过程/部门。</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 xml:space="preserve">   基本满足要求。</w:t>
            </w:r>
          </w:p>
        </w:tc>
        <w:tc>
          <w:tcPr>
            <w:tcW w:w="1352" w:type="dxa"/>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1809" w:type="dxa"/>
            <w:vAlign w:val="center"/>
          </w:tcPr>
          <w:p>
            <w:pPr>
              <w:rPr>
                <w:rFonts w:ascii="楷体" w:hAnsi="楷体" w:eastAsia="楷体"/>
                <w:sz w:val="24"/>
                <w:szCs w:val="24"/>
              </w:rPr>
            </w:pPr>
            <w:r>
              <w:rPr>
                <w:rFonts w:hint="eastAsia" w:ascii="楷体" w:hAnsi="楷体" w:eastAsia="楷体"/>
                <w:sz w:val="24"/>
                <w:szCs w:val="24"/>
              </w:rPr>
              <w:t>变更控制</w:t>
            </w:r>
          </w:p>
        </w:tc>
        <w:tc>
          <w:tcPr>
            <w:tcW w:w="1311" w:type="dxa"/>
            <w:vAlign w:val="center"/>
          </w:tcPr>
          <w:p>
            <w:pPr>
              <w:rPr>
                <w:rFonts w:ascii="楷体" w:hAnsi="楷体" w:eastAsia="楷体"/>
                <w:sz w:val="24"/>
                <w:szCs w:val="24"/>
              </w:rPr>
            </w:pPr>
            <w:r>
              <w:rPr>
                <w:rFonts w:ascii="楷体" w:hAnsi="楷体" w:eastAsia="楷体"/>
                <w:sz w:val="24"/>
                <w:szCs w:val="24"/>
              </w:rPr>
              <w:t>Q8.5.6</w:t>
            </w:r>
          </w:p>
        </w:tc>
        <w:tc>
          <w:tcPr>
            <w:tcW w:w="10237" w:type="dxa"/>
            <w:vAlign w:val="center"/>
          </w:tcPr>
          <w:p>
            <w:pPr>
              <w:spacing w:line="360" w:lineRule="auto"/>
              <w:ind w:firstLine="420" w:firstLineChars="200"/>
              <w:jc w:val="both"/>
              <w:rPr>
                <w:rFonts w:hint="eastAsia" w:ascii="宋体" w:hAnsi="宋体" w:eastAsia="宋体" w:cs="宋体"/>
                <w:sz w:val="21"/>
                <w:szCs w:val="21"/>
                <w:lang w:eastAsia="zh-CN"/>
              </w:rPr>
            </w:pPr>
            <w:r>
              <w:rPr>
                <w:rFonts w:hint="eastAsia" w:ascii="宋体" w:hAnsi="宋体" w:eastAsia="宋体" w:cs="宋体"/>
                <w:sz w:val="21"/>
                <w:szCs w:val="21"/>
                <w:lang w:eastAsia="zh-TW"/>
              </w:rPr>
              <w:t>据技术负责人介绍目前顾客、供方比较稳定，有关的法律法规没有发生变化，公司的设备、设施、人员、</w:t>
            </w:r>
            <w:r>
              <w:rPr>
                <w:rFonts w:hint="eastAsia" w:ascii="宋体" w:hAnsi="宋体" w:eastAsia="宋体" w:cs="宋体"/>
                <w:sz w:val="21"/>
                <w:szCs w:val="21"/>
                <w:lang w:val="en-US" w:eastAsia="zh-CN"/>
              </w:rPr>
              <w:t>检测规程</w:t>
            </w:r>
            <w:r>
              <w:rPr>
                <w:rFonts w:hint="eastAsia" w:ascii="宋体" w:hAnsi="宋体" w:eastAsia="宋体" w:cs="宋体"/>
                <w:sz w:val="21"/>
                <w:szCs w:val="21"/>
                <w:lang w:eastAsia="zh-TW"/>
              </w:rPr>
              <w:t>都比较固定，在设计服务过程中发生的更改</w:t>
            </w:r>
            <w:r>
              <w:rPr>
                <w:rFonts w:hint="eastAsia" w:ascii="宋体" w:hAnsi="宋体" w:eastAsia="宋体" w:cs="宋体"/>
                <w:sz w:val="21"/>
                <w:szCs w:val="21"/>
                <w:lang w:val="en-US" w:eastAsia="zh-CN"/>
              </w:rPr>
              <w:t>需</w:t>
            </w:r>
            <w:r>
              <w:rPr>
                <w:rFonts w:hint="eastAsia" w:ascii="宋体" w:hAnsi="宋体" w:eastAsia="宋体" w:cs="宋体"/>
                <w:sz w:val="21"/>
                <w:szCs w:val="21"/>
                <w:lang w:eastAsia="zh-TW"/>
              </w:rPr>
              <w:t>得到评审确认</w:t>
            </w:r>
            <w:r>
              <w:rPr>
                <w:rFonts w:hint="eastAsia" w:ascii="宋体" w:hAnsi="宋体" w:eastAsia="宋体" w:cs="宋体"/>
                <w:sz w:val="21"/>
                <w:szCs w:val="21"/>
                <w:lang w:eastAsia="zh-CN"/>
              </w:rPr>
              <w:t>。</w:t>
            </w:r>
          </w:p>
        </w:tc>
        <w:tc>
          <w:tcPr>
            <w:tcW w:w="1352" w:type="dxa"/>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1809" w:type="dxa"/>
            <w:vAlign w:val="center"/>
          </w:tcPr>
          <w:p>
            <w:pPr>
              <w:spacing w:line="360" w:lineRule="auto"/>
              <w:rPr>
                <w:rFonts w:hint="eastAsia" w:ascii="楷体" w:hAnsi="楷体" w:eastAsia="楷体" w:cs="Times New Roman"/>
                <w:spacing w:val="-10"/>
                <w:kern w:val="2"/>
                <w:sz w:val="24"/>
                <w:szCs w:val="24"/>
                <w:lang w:val="en-US" w:eastAsia="zh-CN" w:bidi="ar-SA"/>
              </w:rPr>
            </w:pPr>
            <w:r>
              <w:rPr>
                <w:rFonts w:hint="eastAsia" w:ascii="楷体" w:hAnsi="楷体" w:eastAsia="楷体"/>
                <w:sz w:val="24"/>
                <w:szCs w:val="24"/>
              </w:rPr>
              <w:t>产品和服务的放行</w:t>
            </w:r>
          </w:p>
        </w:tc>
        <w:tc>
          <w:tcPr>
            <w:tcW w:w="1311" w:type="dxa"/>
            <w:vAlign w:val="top"/>
          </w:tcPr>
          <w:p>
            <w:pPr>
              <w:spacing w:line="360" w:lineRule="auto"/>
              <w:ind w:left="105"/>
              <w:rPr>
                <w:rFonts w:hint="eastAsia" w:ascii="楷体" w:hAnsi="楷体" w:eastAsia="楷体"/>
                <w:sz w:val="24"/>
                <w:szCs w:val="24"/>
              </w:rPr>
            </w:pPr>
          </w:p>
          <w:p>
            <w:pPr>
              <w:spacing w:line="360" w:lineRule="auto"/>
              <w:rPr>
                <w:rFonts w:hint="eastAsia" w:ascii="楷体" w:hAnsi="楷体" w:eastAsia="楷体"/>
                <w:sz w:val="24"/>
                <w:szCs w:val="24"/>
              </w:rPr>
            </w:pPr>
          </w:p>
          <w:p>
            <w:pPr>
              <w:spacing w:line="360" w:lineRule="auto"/>
              <w:ind w:left="105"/>
              <w:rPr>
                <w:rFonts w:ascii="楷体" w:hAnsi="楷体" w:eastAsia="楷体"/>
                <w:sz w:val="24"/>
                <w:szCs w:val="24"/>
              </w:rPr>
            </w:pPr>
            <w:r>
              <w:rPr>
                <w:rFonts w:hint="eastAsia" w:ascii="楷体" w:hAnsi="楷体" w:eastAsia="楷体"/>
                <w:sz w:val="24"/>
                <w:szCs w:val="24"/>
              </w:rPr>
              <w:t>Q</w:t>
            </w:r>
            <w:r>
              <w:rPr>
                <w:rFonts w:ascii="楷体" w:hAnsi="楷体" w:eastAsia="楷体"/>
                <w:sz w:val="24"/>
                <w:szCs w:val="24"/>
              </w:rPr>
              <w:t>8.6</w:t>
            </w:r>
            <w:r>
              <w:rPr>
                <w:rFonts w:hint="eastAsia" w:ascii="楷体" w:hAnsi="楷体" w:eastAsia="楷体"/>
                <w:sz w:val="24"/>
                <w:szCs w:val="24"/>
              </w:rPr>
              <w:t xml:space="preserve"> </w:t>
            </w:r>
          </w:p>
          <w:p>
            <w:pPr>
              <w:spacing w:line="360" w:lineRule="auto"/>
              <w:ind w:left="105" w:leftChars="0"/>
              <w:rPr>
                <w:rFonts w:ascii="楷体" w:hAnsi="楷体" w:eastAsia="楷体" w:cs="Arial"/>
                <w:kern w:val="2"/>
                <w:sz w:val="24"/>
                <w:szCs w:val="24"/>
                <w:lang w:val="en-US" w:eastAsia="zh-CN" w:bidi="ar-SA"/>
              </w:rPr>
            </w:pPr>
          </w:p>
        </w:tc>
        <w:tc>
          <w:tcPr>
            <w:tcW w:w="10237" w:type="dxa"/>
            <w:vAlign w:val="top"/>
          </w:tcPr>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val="en-US" w:eastAsia="zh-CN"/>
              </w:rPr>
              <w:t>设计软件</w:t>
            </w:r>
            <w:r>
              <w:rPr>
                <w:rFonts w:hint="eastAsia" w:ascii="宋体" w:hAnsi="宋体" w:eastAsia="宋体" w:cs="宋体"/>
                <w:sz w:val="21"/>
                <w:szCs w:val="21"/>
                <w:lang w:eastAsia="zh-TW"/>
              </w:rPr>
              <w:t>经验证后，由技术人员进行相关全套资料的整理，在整理过程中查看内容是否正确，全套资料整理完成后递交</w:t>
            </w:r>
            <w:r>
              <w:rPr>
                <w:rFonts w:hint="eastAsia" w:ascii="宋体" w:hAnsi="宋体" w:cs="宋体"/>
                <w:sz w:val="21"/>
                <w:szCs w:val="21"/>
                <w:lang w:val="en-US" w:eastAsia="zh-CN"/>
              </w:rPr>
              <w:t>技术部</w:t>
            </w:r>
            <w:r>
              <w:rPr>
                <w:rFonts w:hint="eastAsia" w:ascii="宋体" w:hAnsi="宋体" w:eastAsia="宋体" w:cs="宋体"/>
                <w:sz w:val="21"/>
                <w:szCs w:val="21"/>
                <w:lang w:eastAsia="zh-TW"/>
              </w:rPr>
              <w:t>经理和总经理进行复核，确认无误后才交付。</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客户</w:t>
            </w:r>
            <w:r>
              <w:rPr>
                <w:rFonts w:hint="eastAsia" w:ascii="宋体" w:hAnsi="宋体" w:eastAsia="宋体" w:cs="宋体"/>
                <w:sz w:val="21"/>
                <w:szCs w:val="21"/>
                <w:lang w:val="en-US" w:eastAsia="zh-CN"/>
              </w:rPr>
              <w:t xml:space="preserve">的计量设备检测校准证书 </w:t>
            </w:r>
            <w:r>
              <w:rPr>
                <w:rFonts w:hint="eastAsia" w:ascii="宋体" w:hAnsi="宋体" w:eastAsia="宋体" w:cs="宋体"/>
                <w:sz w:val="21"/>
                <w:szCs w:val="21"/>
                <w:lang w:eastAsia="zh-TW"/>
              </w:rPr>
              <w:t>由公司出具报告并备案存档。</w:t>
            </w:r>
          </w:p>
          <w:p>
            <w:pPr>
              <w:spacing w:line="360" w:lineRule="auto"/>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eastAsia="zh-TW"/>
              </w:rPr>
              <w:t>公司产品的监视和测量控制基本符合规定要求。</w:t>
            </w:r>
          </w:p>
        </w:tc>
        <w:tc>
          <w:tcPr>
            <w:tcW w:w="1352" w:type="dxa"/>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1809" w:type="dxa"/>
          </w:tcPr>
          <w:p>
            <w:pPr>
              <w:spacing w:line="360" w:lineRule="auto"/>
              <w:rPr>
                <w:rFonts w:hint="eastAsia" w:ascii="楷体" w:hAnsi="楷体" w:eastAsia="楷体"/>
                <w:sz w:val="24"/>
                <w:szCs w:val="24"/>
              </w:rPr>
            </w:pPr>
          </w:p>
          <w:p>
            <w:pPr>
              <w:spacing w:line="360" w:lineRule="auto"/>
              <w:rPr>
                <w:rFonts w:hint="eastAsia" w:ascii="楷体" w:hAnsi="楷体" w:eastAsia="楷体"/>
                <w:sz w:val="24"/>
                <w:szCs w:val="24"/>
              </w:rPr>
            </w:pPr>
          </w:p>
          <w:p>
            <w:pPr>
              <w:spacing w:line="360" w:lineRule="auto"/>
              <w:rPr>
                <w:rFonts w:hint="eastAsia" w:ascii="楷体" w:hAnsi="楷体" w:eastAsia="楷体"/>
                <w:sz w:val="24"/>
                <w:szCs w:val="24"/>
              </w:rPr>
            </w:pPr>
          </w:p>
          <w:p>
            <w:pPr>
              <w:spacing w:line="360" w:lineRule="auto"/>
              <w:rPr>
                <w:rFonts w:ascii="楷体" w:hAnsi="楷体" w:eastAsia="楷体"/>
                <w:b/>
                <w:sz w:val="24"/>
                <w:szCs w:val="24"/>
              </w:rPr>
            </w:pPr>
            <w:r>
              <w:rPr>
                <w:rFonts w:hint="eastAsia" w:ascii="楷体" w:hAnsi="楷体" w:eastAsia="楷体"/>
                <w:sz w:val="24"/>
                <w:szCs w:val="24"/>
              </w:rPr>
              <w:t>不合格输出的控制</w:t>
            </w:r>
          </w:p>
        </w:tc>
        <w:tc>
          <w:tcPr>
            <w:tcW w:w="1311" w:type="dxa"/>
          </w:tcPr>
          <w:p>
            <w:pPr>
              <w:spacing w:line="360" w:lineRule="auto"/>
              <w:rPr>
                <w:rFonts w:hint="eastAsia" w:ascii="楷体" w:hAnsi="楷体" w:eastAsia="楷体"/>
                <w:sz w:val="24"/>
                <w:szCs w:val="24"/>
              </w:rPr>
            </w:pPr>
          </w:p>
          <w:p>
            <w:pPr>
              <w:spacing w:line="360" w:lineRule="auto"/>
              <w:rPr>
                <w:rFonts w:hint="eastAsia" w:ascii="楷体" w:hAnsi="楷体" w:eastAsia="楷体"/>
                <w:sz w:val="24"/>
                <w:szCs w:val="24"/>
              </w:rPr>
            </w:pPr>
          </w:p>
          <w:p>
            <w:pPr>
              <w:spacing w:line="360" w:lineRule="auto"/>
              <w:rPr>
                <w:rFonts w:hint="eastAsia" w:ascii="楷体" w:hAnsi="楷体" w:eastAsia="楷体"/>
                <w:sz w:val="24"/>
                <w:szCs w:val="24"/>
              </w:rPr>
            </w:pPr>
          </w:p>
          <w:p>
            <w:pPr>
              <w:spacing w:line="360" w:lineRule="auto"/>
              <w:rPr>
                <w:rFonts w:ascii="楷体" w:hAnsi="楷体" w:eastAsia="楷体"/>
                <w:sz w:val="24"/>
                <w:szCs w:val="24"/>
              </w:rPr>
            </w:pPr>
            <w:r>
              <w:rPr>
                <w:rFonts w:hint="eastAsia" w:ascii="楷体" w:hAnsi="楷体" w:eastAsia="楷体"/>
                <w:sz w:val="24"/>
                <w:szCs w:val="24"/>
              </w:rPr>
              <w:t>Q</w:t>
            </w:r>
            <w:r>
              <w:rPr>
                <w:rFonts w:ascii="楷体" w:hAnsi="楷体" w:eastAsia="楷体"/>
                <w:sz w:val="24"/>
                <w:szCs w:val="24"/>
              </w:rPr>
              <w:t>8.7</w:t>
            </w:r>
            <w:r>
              <w:rPr>
                <w:rFonts w:hint="eastAsia" w:ascii="楷体" w:hAnsi="楷体" w:eastAsia="楷体"/>
                <w:sz w:val="24"/>
                <w:szCs w:val="24"/>
              </w:rPr>
              <w:t xml:space="preserve"> </w:t>
            </w:r>
          </w:p>
          <w:p>
            <w:pPr>
              <w:spacing w:line="360" w:lineRule="auto"/>
              <w:ind w:left="105"/>
              <w:rPr>
                <w:rFonts w:ascii="楷体" w:hAnsi="楷体" w:eastAsia="楷体" w:cs="Arial"/>
                <w:sz w:val="24"/>
                <w:szCs w:val="24"/>
              </w:rPr>
            </w:pPr>
          </w:p>
        </w:tc>
        <w:tc>
          <w:tcPr>
            <w:tcW w:w="10237" w:type="dxa"/>
          </w:tcPr>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公司制定并执行了《不合格输出控制程序》，文件对不合格品的识别、控制方法、职责权限作出了具体规定，基本符合标准要求。</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设计</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检测</w:t>
            </w:r>
            <w:r>
              <w:rPr>
                <w:rFonts w:hint="eastAsia" w:ascii="宋体" w:hAnsi="宋体" w:eastAsia="宋体" w:cs="宋体"/>
                <w:sz w:val="21"/>
                <w:szCs w:val="21"/>
                <w:lang w:eastAsia="zh-TW"/>
              </w:rPr>
              <w:t>过程中的不合格品即校审、评审、验证、确认各阶段的不符合，通常采用设计更改的方式进行。经了解，暂无设计过程的不合格品发生进行更改。</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公司能够使现场不合格品得到有效识别，并防止非预期使用和交付。</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产品交付后没有发现不合格的情况，不合格品控制有效。</w:t>
            </w:r>
          </w:p>
        </w:tc>
        <w:tc>
          <w:tcPr>
            <w:tcW w:w="1352" w:type="dxa"/>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1809" w:type="dxa"/>
            <w:vAlign w:val="top"/>
          </w:tcPr>
          <w:p>
            <w:pPr>
              <w:spacing w:line="360" w:lineRule="auto"/>
              <w:rPr>
                <w:rFonts w:hint="eastAsia" w:asciiTheme="minorEastAsia" w:hAnsiTheme="minorEastAsia" w:eastAsiaTheme="minorEastAsia"/>
                <w:bCs/>
                <w:sz w:val="24"/>
                <w:szCs w:val="24"/>
              </w:rPr>
            </w:pPr>
          </w:p>
          <w:p>
            <w:pPr>
              <w:spacing w:line="360" w:lineRule="auto"/>
              <w:rPr>
                <w:rFonts w:hint="eastAsia" w:asciiTheme="minorEastAsia" w:hAnsiTheme="minorEastAsia" w:eastAsiaTheme="minorEastAsia"/>
                <w:bCs/>
                <w:sz w:val="24"/>
                <w:szCs w:val="24"/>
              </w:rPr>
            </w:pPr>
          </w:p>
          <w:p>
            <w:pPr>
              <w:spacing w:line="360" w:lineRule="auto"/>
              <w:rPr>
                <w:rFonts w:hint="eastAsia" w:asciiTheme="minorEastAsia" w:hAnsiTheme="minorEastAsia" w:eastAsiaTheme="minorEastAsia"/>
                <w:bCs/>
                <w:sz w:val="24"/>
                <w:szCs w:val="24"/>
              </w:rPr>
            </w:pPr>
          </w:p>
          <w:p>
            <w:pPr>
              <w:spacing w:line="360" w:lineRule="auto"/>
              <w:rPr>
                <w:rFonts w:hint="eastAsia" w:asciiTheme="minorEastAsia" w:hAnsiTheme="minorEastAsia" w:eastAsiaTheme="minorEastAsia"/>
                <w:bCs/>
                <w:sz w:val="24"/>
                <w:szCs w:val="24"/>
              </w:rPr>
            </w:pPr>
          </w:p>
          <w:p>
            <w:pPr>
              <w:spacing w:line="360" w:lineRule="auto"/>
              <w:rPr>
                <w:rFonts w:asciiTheme="minorEastAsia" w:hAnsiTheme="minorEastAsia" w:eastAsiaTheme="minorEastAsia"/>
                <w:bCs/>
                <w:sz w:val="24"/>
                <w:szCs w:val="24"/>
              </w:rPr>
            </w:pPr>
            <w:r>
              <w:rPr>
                <w:rFonts w:hint="eastAsia" w:asciiTheme="minorEastAsia" w:hAnsiTheme="minorEastAsia" w:eastAsiaTheme="minorEastAsia"/>
                <w:bCs/>
                <w:sz w:val="24"/>
                <w:szCs w:val="24"/>
              </w:rPr>
              <w:t>环境因素</w:t>
            </w:r>
          </w:p>
          <w:p>
            <w:pPr>
              <w:spacing w:line="360" w:lineRule="auto"/>
              <w:rPr>
                <w:rFonts w:cs="宋体" w:asciiTheme="minorEastAsia" w:hAnsiTheme="minorEastAsia" w:eastAsiaTheme="minorEastAsia"/>
                <w:kern w:val="2"/>
                <w:sz w:val="24"/>
                <w:szCs w:val="24"/>
                <w:lang w:val="en-US" w:eastAsia="zh-CN" w:bidi="ar-SA"/>
              </w:rPr>
            </w:pPr>
            <w:r>
              <w:rPr>
                <w:rFonts w:hint="eastAsia" w:asciiTheme="minorEastAsia" w:hAnsiTheme="minorEastAsia" w:eastAsiaTheme="minorEastAsia"/>
                <w:bCs/>
                <w:sz w:val="24"/>
                <w:szCs w:val="24"/>
              </w:rPr>
              <w:t>危险源</w:t>
            </w:r>
          </w:p>
        </w:tc>
        <w:tc>
          <w:tcPr>
            <w:tcW w:w="1311" w:type="dxa"/>
            <w:vAlign w:val="top"/>
          </w:tcPr>
          <w:p>
            <w:pPr>
              <w:spacing w:line="360" w:lineRule="auto"/>
              <w:rPr>
                <w:rFonts w:hint="eastAsia" w:asciiTheme="minorEastAsia" w:hAnsiTheme="minorEastAsia" w:eastAsiaTheme="minorEastAsia"/>
                <w:bCs/>
                <w:sz w:val="24"/>
                <w:szCs w:val="24"/>
              </w:rPr>
            </w:pPr>
          </w:p>
          <w:p>
            <w:pPr>
              <w:spacing w:line="360" w:lineRule="auto"/>
              <w:rPr>
                <w:rFonts w:hint="eastAsia" w:asciiTheme="minorEastAsia" w:hAnsiTheme="minorEastAsia" w:eastAsiaTheme="minorEastAsia"/>
                <w:bCs/>
                <w:sz w:val="24"/>
                <w:szCs w:val="24"/>
              </w:rPr>
            </w:pPr>
          </w:p>
          <w:p>
            <w:pPr>
              <w:spacing w:line="360" w:lineRule="auto"/>
              <w:rPr>
                <w:rFonts w:hint="eastAsia" w:asciiTheme="minorEastAsia" w:hAnsiTheme="minorEastAsia" w:eastAsiaTheme="minorEastAsia"/>
                <w:bCs/>
                <w:sz w:val="24"/>
                <w:szCs w:val="24"/>
              </w:rPr>
            </w:pPr>
          </w:p>
          <w:p>
            <w:pPr>
              <w:spacing w:line="360" w:lineRule="auto"/>
              <w:rPr>
                <w:rFonts w:hint="eastAsia" w:asciiTheme="minorEastAsia" w:hAnsiTheme="minorEastAsia" w:eastAsiaTheme="minorEastAsia"/>
                <w:bCs/>
                <w:sz w:val="24"/>
                <w:szCs w:val="24"/>
              </w:rPr>
            </w:pPr>
          </w:p>
          <w:p>
            <w:pPr>
              <w:spacing w:line="360" w:lineRule="auto"/>
              <w:rPr>
                <w:rFonts w:asciiTheme="minorEastAsia" w:hAnsiTheme="minorEastAsia" w:eastAsiaTheme="minorEastAsia"/>
                <w:bCs/>
                <w:sz w:val="24"/>
                <w:szCs w:val="24"/>
              </w:rPr>
            </w:pPr>
            <w:r>
              <w:rPr>
                <w:rFonts w:hint="eastAsia" w:asciiTheme="minorEastAsia" w:hAnsiTheme="minorEastAsia" w:eastAsiaTheme="minorEastAsia"/>
                <w:bCs/>
                <w:sz w:val="24"/>
                <w:szCs w:val="24"/>
              </w:rPr>
              <w:t>E</w:t>
            </w:r>
            <w:r>
              <w:rPr>
                <w:rFonts w:hint="eastAsia" w:asciiTheme="minorEastAsia" w:hAnsiTheme="minorEastAsia" w:eastAsiaTheme="minorEastAsia"/>
                <w:bCs/>
                <w:sz w:val="24"/>
                <w:szCs w:val="24"/>
                <w:lang w:val="en-US" w:eastAsia="zh-CN"/>
              </w:rPr>
              <w:t>O</w:t>
            </w:r>
            <w:r>
              <w:rPr>
                <w:rFonts w:hint="eastAsia" w:asciiTheme="minorEastAsia" w:hAnsiTheme="minorEastAsia" w:eastAsiaTheme="minorEastAsia"/>
                <w:bCs/>
                <w:sz w:val="24"/>
                <w:szCs w:val="24"/>
              </w:rPr>
              <w:t>6.1.2</w:t>
            </w:r>
          </w:p>
          <w:p>
            <w:pPr>
              <w:spacing w:line="360" w:lineRule="auto"/>
              <w:rPr>
                <w:rFonts w:cs="宋体" w:asciiTheme="minorEastAsia" w:hAnsiTheme="minorEastAsia" w:eastAsiaTheme="minorEastAsia"/>
                <w:kern w:val="2"/>
                <w:sz w:val="24"/>
                <w:szCs w:val="24"/>
                <w:lang w:val="en-US" w:eastAsia="zh-CN" w:bidi="ar-SA"/>
              </w:rPr>
            </w:pPr>
          </w:p>
        </w:tc>
        <w:tc>
          <w:tcPr>
            <w:tcW w:w="10237" w:type="dxa"/>
            <w:vAlign w:val="top"/>
          </w:tcPr>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提供了《环境因素的识别、评价控制程序》、《危险源辨识、风险评价和控制措施确定控制程序》，对环境因素、危险源的识别、评价结果、控制手段等做出了规定。</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部门负责人介绍了对环境因素、危险源进行了辨识，考虑了三种时态，过去、现在和将来，三种状态，正常、异常和紧急，按照办公区域及工作过程，另外按照区域及工作过程等进行了辨识。</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查《</w:t>
            </w:r>
            <w:r>
              <w:rPr>
                <w:rFonts w:hint="eastAsia" w:ascii="宋体" w:hAnsi="宋体" w:cs="宋体"/>
                <w:sz w:val="21"/>
                <w:szCs w:val="21"/>
                <w:lang w:val="en-US" w:eastAsia="zh-CN"/>
              </w:rPr>
              <w:t>技术部</w:t>
            </w:r>
            <w:r>
              <w:rPr>
                <w:rFonts w:hint="eastAsia" w:ascii="宋体" w:hAnsi="宋体" w:eastAsia="宋体" w:cs="宋体"/>
                <w:sz w:val="21"/>
                <w:szCs w:val="21"/>
                <w:lang w:eastAsia="zh-TW"/>
              </w:rPr>
              <w:t>环境因素识别评价表》，对本部门</w:t>
            </w:r>
            <w:r>
              <w:rPr>
                <w:rFonts w:hint="eastAsia" w:ascii="宋体" w:hAnsi="宋体" w:eastAsia="宋体" w:cs="宋体"/>
                <w:sz w:val="21"/>
                <w:szCs w:val="21"/>
                <w:lang w:val="en-US" w:eastAsia="zh-CN"/>
              </w:rPr>
              <w:t>检测</w:t>
            </w:r>
            <w:r>
              <w:rPr>
                <w:rFonts w:hint="eastAsia" w:ascii="宋体" w:hAnsi="宋体" w:eastAsia="宋体" w:cs="宋体"/>
                <w:sz w:val="21"/>
                <w:szCs w:val="21"/>
                <w:lang w:eastAsia="zh-TW"/>
              </w:rPr>
              <w:t>和办公等有关过程的环境因素。分别识别了日常办公过程中的固废（废电池、灯管、墨盒、笔）造成的地面污染、水资源利用（拖地、厕所用水）的水资源消耗、照明、空调、办公设施等电能消耗、意外火灾引起的污染大气、污染地面、资源消耗、</w:t>
            </w:r>
            <w:r>
              <w:rPr>
                <w:rFonts w:hint="eastAsia" w:ascii="宋体" w:hAnsi="宋体" w:eastAsia="宋体" w:cs="宋体"/>
                <w:sz w:val="21"/>
                <w:szCs w:val="21"/>
                <w:lang w:val="en-US" w:eastAsia="zh-CN"/>
              </w:rPr>
              <w:t>检测</w:t>
            </w:r>
            <w:r>
              <w:rPr>
                <w:rFonts w:hint="eastAsia" w:ascii="宋体" w:hAnsi="宋体" w:eastAsia="宋体" w:cs="宋体"/>
                <w:sz w:val="21"/>
                <w:szCs w:val="21"/>
                <w:lang w:eastAsia="zh-TW"/>
              </w:rPr>
              <w:t>过程（固废、噪声排放、火灾、电能消耗、粉尘排放、噪声超标）、设备维修（废弃丢弃、漏油、更换新部件）等环境因素。</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查到：《重要环境因素清单》，公司涉及重要环境因素：固体废弃物的排放、潜在火灾等，本部门涉及的重要环境因素：均有涉及。</w:t>
            </w:r>
          </w:p>
          <w:p>
            <w:pPr>
              <w:spacing w:line="360" w:lineRule="auto"/>
              <w:ind w:firstLine="420" w:firstLineChars="200"/>
              <w:jc w:val="both"/>
              <w:rPr>
                <w:rFonts w:hint="eastAsia" w:ascii="宋体" w:hAnsi="宋体" w:eastAsia="宋体" w:cs="宋体"/>
                <w:sz w:val="21"/>
                <w:szCs w:val="21"/>
                <w:lang w:eastAsia="zh-TW"/>
              </w:rPr>
            </w:pPr>
            <w:r>
              <w:rPr>
                <w:rFonts w:hint="eastAsia" w:ascii="宋体" w:hAnsi="宋体" w:eastAsia="宋体" w:cs="宋体"/>
                <w:sz w:val="21"/>
                <w:szCs w:val="21"/>
                <w:lang w:eastAsia="zh-TW"/>
              </w:rPr>
              <w:t>查《危险源辨识及风险评价表》，部门：</w:t>
            </w:r>
            <w:r>
              <w:rPr>
                <w:rFonts w:hint="eastAsia" w:ascii="宋体" w:hAnsi="宋体" w:cs="宋体"/>
                <w:sz w:val="21"/>
                <w:szCs w:val="21"/>
                <w:lang w:val="en-US" w:eastAsia="zh-CN"/>
              </w:rPr>
              <w:t>技术部</w:t>
            </w:r>
            <w:r>
              <w:rPr>
                <w:rFonts w:hint="eastAsia" w:ascii="宋体" w:hAnsi="宋体" w:eastAsia="宋体" w:cs="宋体"/>
                <w:sz w:val="21"/>
                <w:szCs w:val="21"/>
                <w:lang w:eastAsia="zh-TW"/>
              </w:rPr>
              <w:t>，识别了办公和</w:t>
            </w:r>
            <w:r>
              <w:rPr>
                <w:rFonts w:hint="eastAsia" w:ascii="宋体" w:hAnsi="宋体" w:eastAsia="宋体" w:cs="宋体"/>
                <w:sz w:val="21"/>
                <w:szCs w:val="21"/>
                <w:lang w:val="en-US" w:eastAsia="zh-CN"/>
              </w:rPr>
              <w:t>检测</w:t>
            </w:r>
            <w:r>
              <w:rPr>
                <w:rFonts w:hint="eastAsia" w:ascii="宋体" w:hAnsi="宋体" w:eastAsia="宋体" w:cs="宋体"/>
                <w:sz w:val="21"/>
                <w:szCs w:val="21"/>
                <w:lang w:eastAsia="zh-TW"/>
              </w:rPr>
              <w:t>过程中垃圾不及时可能导致的疾病传染、人离开未断电源可能导致的的火灾、</w:t>
            </w:r>
            <w:r>
              <w:rPr>
                <w:rFonts w:hint="eastAsia" w:ascii="宋体" w:hAnsi="宋体" w:eastAsia="宋体" w:cs="宋体"/>
                <w:sz w:val="21"/>
                <w:szCs w:val="21"/>
                <w:lang w:val="en-US" w:eastAsia="zh-CN"/>
              </w:rPr>
              <w:t>检测</w:t>
            </w:r>
            <w:r>
              <w:rPr>
                <w:rFonts w:hint="eastAsia" w:ascii="宋体" w:hAnsi="宋体" w:eastAsia="宋体" w:cs="宋体"/>
                <w:sz w:val="21"/>
                <w:szCs w:val="21"/>
                <w:lang w:eastAsia="zh-TW"/>
              </w:rPr>
              <w:t>过程违规操作可能导致的人身伤害等危险源。</w:t>
            </w:r>
          </w:p>
          <w:p>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lang w:eastAsia="zh-TW"/>
              </w:rPr>
              <w:t xml:space="preserve">查到：《不可接受风险清单》，公司涉及重大危险源 </w:t>
            </w:r>
            <w:r>
              <w:rPr>
                <w:rFonts w:hint="eastAsia" w:ascii="宋体" w:hAnsi="宋体" w:eastAsia="宋体" w:cs="宋体"/>
                <w:sz w:val="21"/>
                <w:szCs w:val="21"/>
                <w:lang w:val="en-US" w:eastAsia="zh-CN"/>
              </w:rPr>
              <w:t>2</w:t>
            </w:r>
            <w:r>
              <w:rPr>
                <w:rFonts w:hint="eastAsia" w:ascii="宋体" w:hAnsi="宋体" w:eastAsia="宋体" w:cs="宋体"/>
                <w:sz w:val="21"/>
                <w:szCs w:val="21"/>
                <w:lang w:eastAsia="zh-TW"/>
              </w:rPr>
              <w:t>项：潜在火灾、触电</w:t>
            </w:r>
            <w:r>
              <w:rPr>
                <w:rFonts w:hint="eastAsia" w:ascii="宋体" w:hAnsi="宋体" w:eastAsia="宋体" w:cs="宋体"/>
                <w:sz w:val="21"/>
                <w:szCs w:val="21"/>
                <w:lang w:eastAsia="zh-CN"/>
              </w:rPr>
              <w:t>，</w:t>
            </w:r>
            <w:r>
              <w:rPr>
                <w:rFonts w:hint="eastAsia" w:ascii="宋体" w:hAnsi="宋体" w:eastAsia="宋体" w:cs="宋体"/>
                <w:sz w:val="21"/>
                <w:szCs w:val="21"/>
                <w:lang w:eastAsia="zh-TW"/>
              </w:rPr>
              <w:t>本部门涉及的不可接受风险：</w:t>
            </w:r>
            <w:r>
              <w:rPr>
                <w:rFonts w:hint="eastAsia" w:ascii="宋体" w:hAnsi="宋体" w:eastAsia="宋体" w:cs="宋体"/>
                <w:sz w:val="21"/>
                <w:szCs w:val="21"/>
              </w:rPr>
              <w:t>均有涉及。</w:t>
            </w:r>
          </w:p>
          <w:p>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lang w:eastAsia="zh-TW"/>
              </w:rPr>
              <w:t>对于</w:t>
            </w:r>
            <w:r>
              <w:rPr>
                <w:rFonts w:hint="eastAsia" w:ascii="宋体" w:hAnsi="宋体" w:eastAsia="宋体" w:cs="宋体"/>
                <w:sz w:val="21"/>
                <w:szCs w:val="21"/>
              </w:rPr>
              <w:t>环境因素、重要环境因素及危险源、不可接受风险等通过运行控制、管理方案、应急准备与响应进行控制。</w:t>
            </w:r>
          </w:p>
          <w:p>
            <w:pPr>
              <w:spacing w:line="360" w:lineRule="auto"/>
              <w:ind w:firstLine="420" w:firstLineChars="200"/>
              <w:jc w:val="both"/>
              <w:rPr>
                <w:rFonts w:cs="宋体" w:asciiTheme="minorEastAsia" w:hAnsiTheme="minorEastAsia" w:eastAsiaTheme="minorEastAsia"/>
                <w:kern w:val="2"/>
                <w:sz w:val="24"/>
                <w:szCs w:val="24"/>
                <w:lang w:val="en-US" w:eastAsia="zh-CN" w:bidi="ar-SA"/>
              </w:rPr>
            </w:pPr>
            <w:r>
              <w:rPr>
                <w:rFonts w:hint="eastAsia" w:ascii="宋体" w:hAnsi="宋体" w:cs="宋体"/>
                <w:sz w:val="21"/>
                <w:szCs w:val="21"/>
                <w:lang w:val="en-US" w:eastAsia="zh-CN"/>
              </w:rPr>
              <w:t>技术部</w:t>
            </w:r>
            <w:r>
              <w:rPr>
                <w:rFonts w:hint="eastAsia" w:ascii="宋体" w:hAnsi="宋体" w:eastAsia="宋体" w:cs="宋体"/>
                <w:sz w:val="21"/>
                <w:szCs w:val="21"/>
              </w:rPr>
              <w:t>环境因素、危险源的识别、评价基本符合标准要求。</w:t>
            </w:r>
          </w:p>
        </w:tc>
        <w:tc>
          <w:tcPr>
            <w:tcW w:w="1352" w:type="dxa"/>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809" w:type="dxa"/>
            <w:vAlign w:val="top"/>
          </w:tcPr>
          <w:p>
            <w:pPr>
              <w:spacing w:line="360" w:lineRule="auto"/>
              <w:rPr>
                <w:rFonts w:hint="eastAsia" w:asciiTheme="minorEastAsia" w:hAnsiTheme="minorEastAsia" w:eastAsiaTheme="minorEastAsia"/>
                <w:bCs/>
                <w:sz w:val="24"/>
                <w:szCs w:val="24"/>
              </w:rPr>
            </w:pPr>
          </w:p>
          <w:p>
            <w:pPr>
              <w:spacing w:line="360" w:lineRule="auto"/>
              <w:rPr>
                <w:rFonts w:hint="eastAsia" w:asciiTheme="minorEastAsia" w:hAnsiTheme="minorEastAsia" w:eastAsiaTheme="minorEastAsia"/>
                <w:bCs/>
                <w:sz w:val="24"/>
                <w:szCs w:val="24"/>
              </w:rPr>
            </w:pPr>
          </w:p>
          <w:p>
            <w:pPr>
              <w:spacing w:line="360" w:lineRule="auto"/>
              <w:rPr>
                <w:rFonts w:hint="eastAsia" w:asciiTheme="minorEastAsia" w:hAnsiTheme="minorEastAsia" w:eastAsiaTheme="minorEastAsia"/>
                <w:bCs/>
                <w:sz w:val="24"/>
                <w:szCs w:val="24"/>
              </w:rPr>
            </w:pPr>
          </w:p>
          <w:p>
            <w:pPr>
              <w:spacing w:line="360" w:lineRule="auto"/>
              <w:rPr>
                <w:rFonts w:hint="eastAsia" w:asciiTheme="minorEastAsia" w:hAnsiTheme="minorEastAsia" w:eastAsiaTheme="minorEastAsia"/>
                <w:bCs/>
                <w:sz w:val="24"/>
                <w:szCs w:val="24"/>
              </w:rPr>
            </w:pPr>
          </w:p>
          <w:p>
            <w:pPr>
              <w:spacing w:line="360" w:lineRule="auto"/>
              <w:rPr>
                <w:rFonts w:cs="宋体" w:asciiTheme="minorEastAsia" w:hAnsiTheme="minorEastAsia" w:eastAsiaTheme="minorEastAsia"/>
                <w:kern w:val="2"/>
                <w:sz w:val="24"/>
                <w:szCs w:val="24"/>
                <w:lang w:val="en-US" w:eastAsia="zh-CN" w:bidi="ar-SA"/>
              </w:rPr>
            </w:pPr>
            <w:r>
              <w:rPr>
                <w:rFonts w:hint="eastAsia" w:asciiTheme="minorEastAsia" w:hAnsiTheme="minorEastAsia" w:eastAsiaTheme="minorEastAsia"/>
                <w:bCs/>
                <w:sz w:val="24"/>
                <w:szCs w:val="24"/>
              </w:rPr>
              <w:t>运行控制</w:t>
            </w:r>
          </w:p>
        </w:tc>
        <w:tc>
          <w:tcPr>
            <w:tcW w:w="1311" w:type="dxa"/>
            <w:vAlign w:val="top"/>
          </w:tcPr>
          <w:p>
            <w:pPr>
              <w:spacing w:line="360" w:lineRule="auto"/>
              <w:rPr>
                <w:rFonts w:hint="eastAsia" w:asciiTheme="minorEastAsia" w:hAnsiTheme="minorEastAsia" w:eastAsiaTheme="minorEastAsia"/>
                <w:bCs/>
                <w:sz w:val="24"/>
                <w:szCs w:val="24"/>
              </w:rPr>
            </w:pPr>
          </w:p>
          <w:p>
            <w:pPr>
              <w:spacing w:line="360" w:lineRule="auto"/>
              <w:rPr>
                <w:rFonts w:hint="eastAsia" w:asciiTheme="minorEastAsia" w:hAnsiTheme="minorEastAsia" w:eastAsiaTheme="minorEastAsia"/>
                <w:bCs/>
                <w:sz w:val="24"/>
                <w:szCs w:val="24"/>
              </w:rPr>
            </w:pPr>
          </w:p>
          <w:p>
            <w:pPr>
              <w:spacing w:line="360" w:lineRule="auto"/>
              <w:rPr>
                <w:rFonts w:hint="eastAsia" w:asciiTheme="minorEastAsia" w:hAnsiTheme="minorEastAsia" w:eastAsiaTheme="minorEastAsia"/>
                <w:bCs/>
                <w:sz w:val="24"/>
                <w:szCs w:val="24"/>
              </w:rPr>
            </w:pPr>
          </w:p>
          <w:p>
            <w:pPr>
              <w:spacing w:line="360" w:lineRule="auto"/>
              <w:rPr>
                <w:rFonts w:hint="eastAsia" w:asciiTheme="minorEastAsia" w:hAnsiTheme="minorEastAsia" w:eastAsiaTheme="minorEastAsia"/>
                <w:bCs/>
                <w:sz w:val="24"/>
                <w:szCs w:val="24"/>
              </w:rPr>
            </w:pPr>
          </w:p>
          <w:p>
            <w:pPr>
              <w:spacing w:line="360" w:lineRule="auto"/>
              <w:rPr>
                <w:rFonts w:asciiTheme="minorEastAsia" w:hAnsiTheme="minorEastAsia" w:eastAsiaTheme="minorEastAsia"/>
                <w:bCs/>
                <w:sz w:val="24"/>
                <w:szCs w:val="24"/>
              </w:rPr>
            </w:pPr>
            <w:r>
              <w:rPr>
                <w:rFonts w:hint="eastAsia" w:asciiTheme="minorEastAsia" w:hAnsiTheme="minorEastAsia" w:eastAsiaTheme="minorEastAsia"/>
                <w:bCs/>
                <w:sz w:val="24"/>
                <w:szCs w:val="24"/>
              </w:rPr>
              <w:t>E</w:t>
            </w:r>
            <w:r>
              <w:rPr>
                <w:rFonts w:hint="eastAsia" w:asciiTheme="minorEastAsia" w:hAnsiTheme="minorEastAsia" w:eastAsiaTheme="minorEastAsia"/>
                <w:bCs/>
                <w:sz w:val="24"/>
                <w:szCs w:val="24"/>
                <w:lang w:val="en-US" w:eastAsia="zh-CN"/>
              </w:rPr>
              <w:t>O</w:t>
            </w:r>
            <w:r>
              <w:rPr>
                <w:rFonts w:hint="eastAsia" w:asciiTheme="minorEastAsia" w:hAnsiTheme="minorEastAsia" w:eastAsiaTheme="minorEastAsia"/>
                <w:bCs/>
                <w:sz w:val="24"/>
                <w:szCs w:val="24"/>
              </w:rPr>
              <w:t>8.1</w:t>
            </w:r>
          </w:p>
          <w:p>
            <w:pPr>
              <w:spacing w:line="360" w:lineRule="auto"/>
              <w:rPr>
                <w:rFonts w:cs="宋体" w:asciiTheme="minorEastAsia" w:hAnsiTheme="minorEastAsia" w:eastAsiaTheme="minorEastAsia"/>
                <w:kern w:val="2"/>
                <w:sz w:val="24"/>
                <w:szCs w:val="24"/>
                <w:lang w:val="en-US" w:eastAsia="zh-CN" w:bidi="ar-SA"/>
              </w:rPr>
            </w:pPr>
          </w:p>
        </w:tc>
        <w:tc>
          <w:tcPr>
            <w:tcW w:w="10237" w:type="dxa"/>
            <w:vAlign w:val="top"/>
          </w:tcPr>
          <w:p>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编制与环境、安全体系运行控制有关的文件有编制了《应急准备和响应控制程序》，确定的紧急情况有：火灾、触电，提供了紧急情况的《应急预案》。</w:t>
            </w:r>
          </w:p>
          <w:p>
            <w:pPr>
              <w:spacing w:line="360" w:lineRule="auto"/>
              <w:ind w:firstLine="421"/>
              <w:rPr>
                <w:rFonts w:hint="eastAsia" w:ascii="宋体" w:hAnsi="宋体" w:eastAsia="宋体" w:cs="宋体"/>
                <w:sz w:val="21"/>
                <w:szCs w:val="21"/>
              </w:rPr>
            </w:pPr>
            <w:r>
              <w:rPr>
                <w:rFonts w:hint="eastAsia" w:ascii="宋体" w:hAnsi="宋体" w:eastAsia="宋体" w:cs="宋体"/>
                <w:sz w:val="21"/>
                <w:szCs w:val="21"/>
              </w:rPr>
              <w:t>1、废水管控</w:t>
            </w:r>
            <w:r>
              <w:rPr>
                <w:rFonts w:hint="eastAsia" w:ascii="宋体" w:hAnsi="宋体" w:eastAsia="宋体" w:cs="宋体"/>
                <w:sz w:val="21"/>
                <w:szCs w:val="21"/>
                <w:lang w:eastAsia="zh-CN"/>
              </w:rPr>
              <w:t>、</w:t>
            </w:r>
            <w:r>
              <w:rPr>
                <w:rFonts w:hint="eastAsia" w:ascii="宋体" w:hAnsi="宋体" w:eastAsia="宋体" w:cs="宋体"/>
                <w:sz w:val="21"/>
                <w:szCs w:val="21"/>
              </w:rPr>
              <w:t>废气管控：</w:t>
            </w:r>
          </w:p>
          <w:p>
            <w:pPr>
              <w:tabs>
                <w:tab w:val="left" w:pos="6597"/>
              </w:tabs>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color w:val="000000"/>
                <w:sz w:val="21"/>
                <w:szCs w:val="21"/>
              </w:rPr>
              <w:t>公司</w:t>
            </w:r>
            <w:r>
              <w:rPr>
                <w:rFonts w:hint="eastAsia" w:ascii="宋体" w:hAnsi="宋体" w:eastAsia="宋体" w:cs="宋体"/>
                <w:color w:val="000000"/>
                <w:sz w:val="21"/>
                <w:szCs w:val="21"/>
                <w:lang w:val="en-US" w:eastAsia="zh-CN"/>
              </w:rPr>
              <w:t>检测过程无</w:t>
            </w:r>
            <w:r>
              <w:rPr>
                <w:rFonts w:hint="eastAsia" w:ascii="宋体" w:hAnsi="宋体" w:eastAsia="宋体" w:cs="宋体"/>
                <w:color w:val="000000"/>
                <w:sz w:val="21"/>
                <w:szCs w:val="21"/>
              </w:rPr>
              <w:t>废水</w:t>
            </w:r>
            <w:r>
              <w:rPr>
                <w:rFonts w:hint="eastAsia" w:ascii="宋体" w:hAnsi="宋体" w:eastAsia="宋体" w:cs="宋体"/>
                <w:color w:val="000000"/>
                <w:sz w:val="21"/>
                <w:szCs w:val="21"/>
                <w:lang w:eastAsia="zh-CN"/>
              </w:rPr>
              <w:t>、</w:t>
            </w:r>
            <w:r>
              <w:rPr>
                <w:rFonts w:hint="eastAsia" w:ascii="宋体" w:hAnsi="宋体" w:eastAsia="宋体" w:cs="宋体"/>
                <w:sz w:val="21"/>
                <w:szCs w:val="21"/>
              </w:rPr>
              <w:t>废气</w:t>
            </w:r>
            <w:r>
              <w:rPr>
                <w:rFonts w:hint="eastAsia" w:ascii="宋体" w:hAnsi="宋体" w:eastAsia="宋体" w:cs="宋体"/>
                <w:color w:val="000000"/>
                <w:sz w:val="21"/>
                <w:szCs w:val="21"/>
              </w:rPr>
              <w:t>外排</w:t>
            </w:r>
            <w:r>
              <w:rPr>
                <w:rFonts w:hint="eastAsia" w:ascii="宋体" w:hAnsi="宋体" w:eastAsia="宋体" w:cs="宋体"/>
                <w:color w:val="000000"/>
                <w:sz w:val="21"/>
                <w:szCs w:val="21"/>
                <w:lang w:eastAsia="zh-CN"/>
              </w:rPr>
              <w:t>。</w:t>
            </w:r>
          </w:p>
          <w:p>
            <w:pPr>
              <w:spacing w:line="360" w:lineRule="auto"/>
              <w:ind w:firstLine="421"/>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、固废管控：</w:t>
            </w:r>
            <w:r>
              <w:rPr>
                <w:rFonts w:hint="eastAsia" w:ascii="宋体" w:hAnsi="宋体" w:cs="宋体"/>
                <w:sz w:val="21"/>
                <w:szCs w:val="21"/>
                <w:lang w:val="en-US" w:eastAsia="zh-CN"/>
              </w:rPr>
              <w:t>技术部</w:t>
            </w:r>
            <w:r>
              <w:rPr>
                <w:rFonts w:hint="eastAsia" w:ascii="宋体" w:hAnsi="宋体" w:eastAsia="宋体" w:cs="宋体"/>
                <w:sz w:val="21"/>
                <w:szCs w:val="21"/>
              </w:rPr>
              <w:t>将</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废弃物放置固定位置，积攒一定量后出售回收单位再利用。</w:t>
            </w:r>
          </w:p>
          <w:p>
            <w:pPr>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能源资源管控：</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注意节水、节电</w:t>
            </w:r>
            <w:r>
              <w:rPr>
                <w:rFonts w:hint="eastAsia" w:ascii="宋体" w:hAnsi="宋体" w:eastAsia="宋体" w:cs="宋体"/>
                <w:sz w:val="21"/>
                <w:szCs w:val="21"/>
                <w:lang w:eastAsia="zh-CN"/>
              </w:rPr>
              <w:t>，</w:t>
            </w:r>
            <w:r>
              <w:rPr>
                <w:rFonts w:hint="eastAsia" w:ascii="宋体" w:hAnsi="宋体" w:eastAsia="宋体" w:cs="宋体"/>
                <w:sz w:val="21"/>
                <w:szCs w:val="21"/>
              </w:rPr>
              <w:t>人走关闭设备和照明开关，现场未发现有漏水和浪费电能的现象。</w:t>
            </w:r>
          </w:p>
          <w:p>
            <w:pPr>
              <w:spacing w:line="360" w:lineRule="auto"/>
              <w:ind w:firstLine="421"/>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、潜在火灾管控：</w:t>
            </w:r>
          </w:p>
          <w:p>
            <w:pPr>
              <w:spacing w:line="360" w:lineRule="auto"/>
              <w:ind w:firstLine="630" w:firstLineChars="300"/>
              <w:rPr>
                <w:rFonts w:hint="eastAsia" w:ascii="宋体" w:hAnsi="宋体" w:eastAsia="宋体" w:cs="宋体"/>
                <w:sz w:val="21"/>
                <w:szCs w:val="21"/>
              </w:rPr>
            </w:pPr>
            <w:r>
              <w:rPr>
                <w:rFonts w:hint="eastAsia" w:ascii="宋体" w:hAnsi="宋体" w:eastAsia="宋体" w:cs="宋体"/>
                <w:sz w:val="21"/>
                <w:szCs w:val="21"/>
                <w:lang w:val="en-US" w:eastAsia="zh-CN"/>
              </w:rPr>
              <w:t>实验室内</w:t>
            </w:r>
            <w:r>
              <w:rPr>
                <w:rFonts w:hint="eastAsia" w:ascii="宋体" w:hAnsi="宋体" w:eastAsia="宋体" w:cs="宋体"/>
                <w:sz w:val="21"/>
                <w:szCs w:val="21"/>
              </w:rPr>
              <w:t>配备了灭火器，均符合要求。</w:t>
            </w:r>
          </w:p>
          <w:p>
            <w:pPr>
              <w:spacing w:line="360" w:lineRule="auto"/>
              <w:ind w:firstLine="421"/>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、安全防护：</w:t>
            </w:r>
          </w:p>
          <w:p>
            <w:pPr>
              <w:spacing w:line="360" w:lineRule="auto"/>
              <w:ind w:firstLine="421"/>
              <w:rPr>
                <w:rFonts w:hint="eastAsia" w:ascii="宋体" w:hAnsi="宋体" w:eastAsia="宋体" w:cs="宋体"/>
                <w:sz w:val="21"/>
                <w:szCs w:val="21"/>
              </w:rPr>
            </w:pPr>
            <w:r>
              <w:rPr>
                <w:rFonts w:hint="eastAsia" w:ascii="宋体" w:hAnsi="宋体" w:eastAsia="宋体" w:cs="宋体"/>
                <w:sz w:val="21"/>
                <w:szCs w:val="21"/>
              </w:rPr>
              <w:t>公司给员工发放手套、口罩、防护眼镜等劳保用品，</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设备上悬挂安全警示牌。设备旋转部位和凸出部位，安装有防护罩等，设备运行状况良好。</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、能提供防止员工意外伤害加重的急救药品如创可贴、杀菌药水等。</w:t>
            </w:r>
          </w:p>
          <w:p>
            <w:pPr>
              <w:spacing w:line="360" w:lineRule="auto"/>
              <w:ind w:firstLine="421"/>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、为主要长期员工上社保，查见交款证明。</w:t>
            </w:r>
          </w:p>
          <w:p>
            <w:pPr>
              <w:spacing w:line="360" w:lineRule="auto"/>
              <w:ind w:firstLine="421"/>
              <w:rPr>
                <w:rFonts w:cs="宋体" w:asciiTheme="minorEastAsia" w:hAnsiTheme="minorEastAsia" w:eastAsiaTheme="minorEastAsia"/>
                <w:b/>
                <w:bCs/>
                <w:kern w:val="2"/>
                <w:sz w:val="24"/>
                <w:szCs w:val="24"/>
                <w:lang w:val="en-US" w:eastAsia="zh-CN" w:bidi="ar-SA"/>
              </w:rPr>
            </w:pPr>
            <w:r>
              <w:rPr>
                <w:rFonts w:hint="eastAsia" w:ascii="宋体" w:hAnsi="宋体" w:eastAsia="宋体" w:cs="宋体"/>
                <w:sz w:val="21"/>
                <w:szCs w:val="21"/>
                <w:lang w:val="en-US" w:eastAsia="zh-CN"/>
              </w:rPr>
              <w:t>8</w:t>
            </w:r>
            <w:r>
              <w:rPr>
                <w:rFonts w:hint="eastAsia" w:ascii="宋体" w:hAnsi="宋体" w:eastAsia="宋体" w:cs="宋体"/>
                <w:sz w:val="21"/>
                <w:szCs w:val="21"/>
              </w:rPr>
              <w:t>、员工饮用水为纯净水通过饮水机饮用。</w:t>
            </w:r>
          </w:p>
        </w:tc>
        <w:tc>
          <w:tcPr>
            <w:tcW w:w="1352" w:type="dxa"/>
          </w:tcPr>
          <w:p>
            <w:pPr>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1809" w:type="dxa"/>
            <w:vAlign w:val="top"/>
          </w:tcPr>
          <w:p>
            <w:pPr>
              <w:spacing w:line="360" w:lineRule="auto"/>
              <w:rPr>
                <w:rFonts w:hint="eastAsia" w:ascii="宋体" w:hAnsi="宋体" w:eastAsia="宋体" w:cs="宋体"/>
                <w:bCs/>
                <w:sz w:val="21"/>
                <w:szCs w:val="21"/>
              </w:rPr>
            </w:pPr>
          </w:p>
          <w:p>
            <w:pPr>
              <w:spacing w:line="360" w:lineRule="auto"/>
              <w:rPr>
                <w:rFonts w:hint="eastAsia" w:ascii="宋体" w:hAnsi="宋体" w:eastAsia="宋体" w:cs="宋体"/>
                <w:bCs/>
                <w:sz w:val="21"/>
                <w:szCs w:val="21"/>
              </w:rPr>
            </w:pPr>
          </w:p>
          <w:p>
            <w:pPr>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bCs/>
                <w:sz w:val="21"/>
                <w:szCs w:val="21"/>
              </w:rPr>
              <w:t>应急准备和相应</w:t>
            </w:r>
          </w:p>
        </w:tc>
        <w:tc>
          <w:tcPr>
            <w:tcW w:w="1311" w:type="dxa"/>
            <w:vAlign w:val="top"/>
          </w:tcPr>
          <w:p>
            <w:pPr>
              <w:spacing w:line="360" w:lineRule="auto"/>
              <w:rPr>
                <w:rFonts w:hint="eastAsia" w:ascii="宋体" w:hAnsi="宋体" w:eastAsia="宋体" w:cs="宋体"/>
                <w:bCs/>
                <w:sz w:val="21"/>
                <w:szCs w:val="21"/>
              </w:rPr>
            </w:pPr>
          </w:p>
          <w:p>
            <w:pPr>
              <w:spacing w:line="360" w:lineRule="auto"/>
              <w:rPr>
                <w:rFonts w:hint="eastAsia" w:ascii="宋体" w:hAnsi="宋体" w:eastAsia="宋体" w:cs="宋体"/>
                <w:bCs/>
                <w:sz w:val="21"/>
                <w:szCs w:val="21"/>
              </w:rPr>
            </w:pPr>
          </w:p>
          <w:p>
            <w:pPr>
              <w:spacing w:line="360" w:lineRule="auto"/>
              <w:rPr>
                <w:rFonts w:hint="eastAsia" w:ascii="宋体" w:hAnsi="宋体" w:eastAsia="宋体" w:cs="宋体"/>
                <w:bCs/>
                <w:sz w:val="21"/>
                <w:szCs w:val="21"/>
              </w:rPr>
            </w:pPr>
            <w:r>
              <w:rPr>
                <w:rFonts w:hint="eastAsia" w:ascii="宋体" w:hAnsi="宋体" w:eastAsia="宋体" w:cs="宋体"/>
                <w:bCs/>
                <w:sz w:val="21"/>
                <w:szCs w:val="21"/>
              </w:rPr>
              <w:t>E</w:t>
            </w:r>
            <w:r>
              <w:rPr>
                <w:rFonts w:hint="eastAsia" w:ascii="宋体" w:hAnsi="宋体" w:eastAsia="宋体" w:cs="宋体"/>
                <w:bCs/>
                <w:sz w:val="21"/>
                <w:szCs w:val="21"/>
                <w:lang w:val="en-US" w:eastAsia="zh-CN"/>
              </w:rPr>
              <w:t>O</w:t>
            </w:r>
            <w:r>
              <w:rPr>
                <w:rFonts w:hint="eastAsia" w:ascii="宋体" w:hAnsi="宋体" w:eastAsia="宋体" w:cs="宋体"/>
                <w:bCs/>
                <w:sz w:val="21"/>
                <w:szCs w:val="21"/>
              </w:rPr>
              <w:t>8.2</w:t>
            </w:r>
          </w:p>
          <w:p>
            <w:pPr>
              <w:spacing w:line="360" w:lineRule="auto"/>
              <w:rPr>
                <w:rFonts w:hint="eastAsia" w:ascii="宋体" w:hAnsi="宋体" w:eastAsia="宋体" w:cs="宋体"/>
                <w:kern w:val="2"/>
                <w:sz w:val="21"/>
                <w:szCs w:val="21"/>
                <w:lang w:val="en-US" w:eastAsia="zh-CN" w:bidi="ar-SA"/>
              </w:rPr>
            </w:pPr>
          </w:p>
        </w:tc>
        <w:tc>
          <w:tcPr>
            <w:tcW w:w="10237" w:type="dxa"/>
            <w:vAlign w:val="top"/>
          </w:tcPr>
          <w:p>
            <w:pPr>
              <w:spacing w:line="360" w:lineRule="auto"/>
              <w:rPr>
                <w:rFonts w:hint="eastAsia" w:ascii="宋体" w:hAnsi="宋体" w:eastAsia="宋体" w:cs="宋体"/>
                <w:sz w:val="21"/>
                <w:szCs w:val="21"/>
              </w:rPr>
            </w:pPr>
            <w:r>
              <w:rPr>
                <w:rFonts w:hint="eastAsia" w:ascii="宋体" w:hAnsi="宋体" w:cs="宋体"/>
                <w:sz w:val="21"/>
                <w:szCs w:val="21"/>
                <w:lang w:val="en-US" w:eastAsia="zh-CN"/>
              </w:rPr>
              <w:t>技术部</w:t>
            </w:r>
            <w:r>
              <w:rPr>
                <w:rFonts w:hint="eastAsia" w:ascii="宋体" w:hAnsi="宋体" w:eastAsia="宋体" w:cs="宋体"/>
                <w:sz w:val="21"/>
                <w:szCs w:val="21"/>
              </w:rPr>
              <w:t>按照策划的《应急准备和响应控制程序程序》《火灾应急预案》等，明确了相应的运行准则。</w:t>
            </w:r>
          </w:p>
          <w:p>
            <w:pPr>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技术服务、研发</w:t>
            </w:r>
            <w:r>
              <w:rPr>
                <w:rFonts w:hint="eastAsia" w:ascii="宋体" w:hAnsi="宋体" w:eastAsia="宋体" w:cs="宋体"/>
                <w:sz w:val="21"/>
                <w:szCs w:val="21"/>
              </w:rPr>
              <w:t>过程中加强用电安全，防止触电事故和火灾事故的发生，安装了漏电保护器。</w:t>
            </w:r>
          </w:p>
          <w:p>
            <w:pPr>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提供</w:t>
            </w:r>
            <w:r>
              <w:rPr>
                <w:rFonts w:hint="eastAsia" w:ascii="宋体" w:hAnsi="宋体" w:eastAsia="宋体" w:cs="宋体"/>
                <w:sz w:val="21"/>
                <w:szCs w:val="21"/>
              </w:rPr>
              <w:t>现场查灭火器在有效期内</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实验室</w:t>
            </w:r>
            <w:r>
              <w:rPr>
                <w:rFonts w:hint="eastAsia" w:ascii="宋体" w:hAnsi="宋体" w:eastAsia="宋体" w:cs="宋体"/>
                <w:sz w:val="21"/>
                <w:szCs w:val="21"/>
              </w:rPr>
              <w:t>有“禁止吸烟”，“小心触电” 等环保、安全警示标识。</w:t>
            </w:r>
          </w:p>
          <w:p>
            <w:pPr>
              <w:spacing w:line="360" w:lineRule="auto"/>
              <w:rPr>
                <w:rFonts w:hint="eastAsia" w:ascii="宋体" w:hAnsi="宋体" w:eastAsia="宋体" w:cs="宋体"/>
                <w:sz w:val="21"/>
                <w:szCs w:val="21"/>
              </w:rPr>
            </w:pPr>
            <w:r>
              <w:rPr>
                <w:rFonts w:hint="eastAsia" w:ascii="宋体" w:hAnsi="宋体" w:eastAsia="宋体" w:cs="宋体"/>
                <w:sz w:val="21"/>
                <w:szCs w:val="21"/>
              </w:rPr>
              <w:t>配有急救药箱，箱内有创可贴、消毒酒精、碘伏、棉棒等。</w:t>
            </w:r>
          </w:p>
          <w:p>
            <w:pPr>
              <w:spacing w:line="360" w:lineRule="auto"/>
              <w:rPr>
                <w:rFonts w:hint="eastAsia" w:ascii="宋体" w:hAnsi="宋体" w:eastAsia="宋体" w:cs="宋体"/>
                <w:sz w:val="21"/>
                <w:szCs w:val="21"/>
              </w:rPr>
            </w:pPr>
            <w:r>
              <w:rPr>
                <w:rFonts w:hint="eastAsia" w:ascii="宋体" w:hAnsi="宋体" w:eastAsia="宋体" w:cs="宋体"/>
                <w:sz w:val="21"/>
                <w:szCs w:val="21"/>
              </w:rPr>
              <w:t>查20</w:t>
            </w:r>
            <w:r>
              <w:rPr>
                <w:rFonts w:hint="eastAsia" w:ascii="宋体" w:hAnsi="宋体" w:cs="宋体"/>
                <w:sz w:val="21"/>
                <w:szCs w:val="21"/>
                <w:lang w:val="en-US" w:eastAsia="zh-CN"/>
              </w:rPr>
              <w:t>20</w:t>
            </w:r>
            <w:r>
              <w:rPr>
                <w:rFonts w:hint="eastAsia" w:ascii="宋体" w:hAnsi="宋体" w:eastAsia="宋体" w:cs="宋体"/>
                <w:sz w:val="21"/>
                <w:szCs w:val="21"/>
              </w:rPr>
              <w:t>.</w:t>
            </w:r>
            <w:r>
              <w:rPr>
                <w:rFonts w:hint="eastAsia" w:ascii="宋体" w:hAnsi="宋体" w:cs="宋体"/>
                <w:sz w:val="21"/>
                <w:szCs w:val="21"/>
                <w:lang w:val="en-US" w:eastAsia="zh-CN"/>
              </w:rPr>
              <w:t>3</w:t>
            </w:r>
            <w:r>
              <w:rPr>
                <w:rFonts w:hint="eastAsia" w:ascii="宋体" w:hAnsi="宋体" w:eastAsia="宋体" w:cs="宋体"/>
                <w:sz w:val="21"/>
                <w:szCs w:val="21"/>
              </w:rPr>
              <w:t>.</w:t>
            </w:r>
            <w:r>
              <w:rPr>
                <w:rFonts w:hint="eastAsia" w:ascii="宋体" w:hAnsi="宋体" w:cs="宋体"/>
                <w:sz w:val="21"/>
                <w:szCs w:val="21"/>
                <w:lang w:val="en-US" w:eastAsia="zh-CN"/>
              </w:rPr>
              <w:t>20</w:t>
            </w:r>
            <w:r>
              <w:rPr>
                <w:rFonts w:hint="eastAsia" w:ascii="宋体" w:hAnsi="宋体" w:eastAsia="宋体" w:cs="宋体"/>
                <w:sz w:val="21"/>
                <w:szCs w:val="21"/>
              </w:rPr>
              <w:t>日参加了</w:t>
            </w:r>
            <w:r>
              <w:rPr>
                <w:rFonts w:hint="eastAsia" w:ascii="宋体" w:hAnsi="宋体" w:cs="宋体"/>
                <w:sz w:val="21"/>
                <w:szCs w:val="21"/>
                <w:lang w:val="en-US" w:eastAsia="zh-CN"/>
              </w:rPr>
              <w:t>行政部</w:t>
            </w:r>
            <w:r>
              <w:rPr>
                <w:rFonts w:hint="eastAsia" w:ascii="宋体" w:hAnsi="宋体" w:eastAsia="宋体" w:cs="宋体"/>
                <w:sz w:val="21"/>
                <w:szCs w:val="21"/>
              </w:rPr>
              <w:t>室组织的火灾预案演练，提供了相关记录。</w:t>
            </w:r>
          </w:p>
          <w:p>
            <w:pPr>
              <w:spacing w:line="360" w:lineRule="auto"/>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sz w:val="21"/>
                <w:szCs w:val="21"/>
              </w:rPr>
              <w:t>自体系运行以来未出现应急事故情况。</w:t>
            </w:r>
          </w:p>
        </w:tc>
        <w:tc>
          <w:tcPr>
            <w:tcW w:w="1352" w:type="dxa"/>
          </w:tcPr>
          <w:p>
            <w:pPr>
              <w:rPr>
                <w:rFonts w:ascii="楷体" w:hAnsi="楷体" w:eastAsia="楷体"/>
                <w:sz w:val="24"/>
                <w:szCs w:val="24"/>
              </w:rPr>
            </w:pPr>
          </w:p>
        </w:tc>
      </w:tr>
    </w:tbl>
    <w:p>
      <w:pPr>
        <w:rPr>
          <w:rFonts w:ascii="楷体" w:hAnsi="楷体" w:eastAsia="楷体"/>
        </w:rPr>
      </w:pPr>
      <w:r>
        <w:rPr>
          <w:rFonts w:ascii="楷体" w:hAnsi="楷体" w:eastAsia="楷体"/>
        </w:rPr>
        <w:ptab w:relativeTo="margin" w:alignment="center" w:leader="none"/>
      </w:r>
    </w:p>
    <w:p>
      <w:pPr>
        <w:rPr>
          <w:rFonts w:ascii="楷体" w:hAnsi="楷体" w:eastAsia="楷体"/>
        </w:rPr>
      </w:pPr>
    </w:p>
    <w:p>
      <w:pPr>
        <w:rPr>
          <w:rFonts w:ascii="楷体" w:hAnsi="楷体" w:eastAsia="楷体"/>
        </w:rPr>
      </w:pPr>
    </w:p>
    <w:p>
      <w:pPr>
        <w:pStyle w:val="8"/>
        <w:rPr>
          <w:rFonts w:ascii="楷体" w:hAnsi="楷体" w:eastAsia="楷体"/>
        </w:rPr>
      </w:pPr>
      <w:r>
        <w:rPr>
          <w:rFonts w:hint="eastAsia" w:ascii="楷体" w:hAnsi="楷体" w:eastAsia="楷体"/>
        </w:rPr>
        <w:t>说明：不符合标注N</w:t>
      </w:r>
    </w:p>
    <w:sectPr>
      <w:headerReference r:id="rId3" w:type="default"/>
      <w:footerReference r:id="rId4" w:type="default"/>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4900"/>
      <w:docPartObj>
        <w:docPartGallery w:val="autotext"/>
      </w:docPartObj>
    </w:sdtPr>
    <w:sdtContent>
      <w:sdt>
        <w:sdtPr>
          <w:id w:val="171357217"/>
          <w:docPartObj>
            <w:docPartGallery w:val="autotext"/>
          </w:docPartObj>
        </w:sdtPr>
        <w:sdtContent>
          <w:p>
            <w:pPr>
              <w:pStyle w:val="8"/>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13</w:t>
            </w:r>
            <w:r>
              <w:rPr>
                <w:b/>
                <w:sz w:val="24"/>
                <w:szCs w:val="24"/>
              </w:rPr>
              <w:fldChar w:fldCharType="end"/>
            </w:r>
          </w:p>
        </w:sdtContent>
      </w:sdt>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tabs>
        <w:tab w:val="left" w:pos="8910"/>
        <w:tab w:val="left" w:pos="9142"/>
        <w:tab w:val="clear" w:pos="4153"/>
      </w:tabs>
      <w:spacing w:line="320" w:lineRule="exact"/>
      <w:ind w:left="-86" w:leftChars="-41" w:firstLine="810" w:firstLineChars="450"/>
      <w:jc w:val="left"/>
      <w:rPr>
        <w:rStyle w:val="17"/>
        <w:rFonts w:hint="default"/>
      </w:rPr>
    </w:pPr>
    <w: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17"/>
        <w:rFonts w:hint="default"/>
      </w:rPr>
      <w:t>北京国标联合认证有限公司</w:t>
    </w:r>
    <w:r>
      <w:rPr>
        <w:rStyle w:val="17"/>
        <w:rFonts w:hint="default"/>
      </w:rPr>
      <w:tab/>
    </w:r>
    <w:r>
      <w:rPr>
        <w:rStyle w:val="17"/>
        <w:rFonts w:hint="default"/>
      </w:rPr>
      <w:tab/>
    </w:r>
    <w:r>
      <w:rPr>
        <w:rStyle w:val="17"/>
        <w:rFonts w:hint="default"/>
      </w:rPr>
      <w:tab/>
    </w:r>
  </w:p>
  <w:p>
    <w:pPr>
      <w:pStyle w:val="9"/>
      <w:pBdr>
        <w:bottom w:val="none" w:color="auto" w:sz="0" w:space="1"/>
      </w:pBdr>
      <w:spacing w:line="320" w:lineRule="exact"/>
      <w:jc w:val="left"/>
    </w:pPr>
    <w:r>
      <w:pict>
        <v:shape id="文本框 1" o:spid="_x0000_s4097" o:spt="202" type="#_x0000_t202" style="position:absolute;left:0pt;margin-left:554.75pt;margin-top:2.2pt;height:20.2pt;width:172pt;z-index:251661312;mso-width-relative:page;mso-height-relative:page;" stroked="f" coordsize="21600,21600" o:gfxdata="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DDVqXNcA&#10;AAAJAQAADwAAAAAAAAABACAAAAAiAAAAZHJzL2Rvd25yZXYueG1sUEsBAhQAFAAAAAgAh07iQEPN&#10;lhyuAQAAMgMAAA4AAAAAAAAAAQAgAAAAJgEAAGRycy9lMm9Eb2MueG1sUEsFBgAAAAAGAAYAWQEA&#10;AEYFAAAAAA==&#10;">
          <v:path/>
          <v:fill focussize="0,0"/>
          <v:stroke on="f" joinstyle="miter"/>
          <v:imagedata o:title=""/>
          <o:lock v:ext="edit"/>
          <v:textbox>
            <w:txbxContent>
              <w:p>
                <w:r>
                  <w:rPr>
                    <w:rFonts w:hint="eastAsia"/>
                    <w:sz w:val="18"/>
                    <w:szCs w:val="18"/>
                  </w:rPr>
                  <w:t>ISC-B-II-10 管理体系审核记录表(03版)</w:t>
                </w:r>
              </w:p>
            </w:txbxContent>
          </v:textbox>
        </v:shape>
      </w:pict>
    </w:r>
    <w:r>
      <w:rPr>
        <w:rStyle w:val="17"/>
        <w:rFonts w:hint="default"/>
      </w:rPr>
      <w:t xml:space="preserve">        </w:t>
    </w:r>
    <w:r>
      <w:rPr>
        <w:rStyle w:val="17"/>
        <w:rFonts w:hint="default"/>
        <w:w w:val="90"/>
      </w:rPr>
      <w:t>Beijing International Standard united Certification Co.,Ltd.</w:t>
    </w:r>
    <w:r>
      <w:rPr>
        <w:rStyle w:val="17"/>
        <w:rFonts w:hint="default"/>
        <w:w w:val="90"/>
        <w:szCs w:val="21"/>
      </w:rPr>
      <w:t xml:space="preserve">  </w:t>
    </w:r>
    <w:r>
      <w:rPr>
        <w:rStyle w:val="17"/>
        <w:rFonts w:hint="default"/>
        <w:w w:val="90"/>
        <w:sz w:val="20"/>
      </w:rPr>
      <w:t xml:space="preserve"> </w:t>
    </w:r>
    <w:r>
      <w:rPr>
        <w:rStyle w:val="17"/>
        <w:rFonts w:hint="default"/>
        <w:w w:val="90"/>
      </w:rPr>
      <w:t xml:space="preserve">                   </w:t>
    </w:r>
  </w:p>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5C614A"/>
    <w:multiLevelType w:val="singleLevel"/>
    <w:tmpl w:val="BE5C614A"/>
    <w:lvl w:ilvl="0" w:tentative="0">
      <w:start w:val="1"/>
      <w:numFmt w:val="decimal"/>
      <w:lvlText w:val="%1)"/>
      <w:lvlJc w:val="left"/>
      <w:pPr>
        <w:ind w:left="425" w:hanging="425"/>
      </w:pPr>
      <w:rPr>
        <w:rFonts w:hint="default"/>
      </w:rPr>
    </w:lvl>
  </w:abstractNum>
  <w:abstractNum w:abstractNumId="1">
    <w:nsid w:val="D8164956"/>
    <w:multiLevelType w:val="singleLevel"/>
    <w:tmpl w:val="D8164956"/>
    <w:lvl w:ilvl="0" w:tentative="0">
      <w:start w:val="4"/>
      <w:numFmt w:val="decimal"/>
      <w:suff w:val="nothing"/>
      <w:lvlText w:val="%1）"/>
      <w:lvlJc w:val="left"/>
    </w:lvl>
  </w:abstractNum>
  <w:abstractNum w:abstractNumId="2">
    <w:nsid w:val="2A5B39DE"/>
    <w:multiLevelType w:val="singleLevel"/>
    <w:tmpl w:val="2A5B39DE"/>
    <w:lvl w:ilvl="0" w:tentative="0">
      <w:start w:val="1"/>
      <w:numFmt w:val="decimal"/>
      <w:lvlText w:val="%1)"/>
      <w:lvlJc w:val="left"/>
      <w:pPr>
        <w:tabs>
          <w:tab w:val="left" w:pos="312"/>
        </w:tabs>
      </w:pPr>
    </w:lvl>
  </w:abstractNum>
  <w:abstractNum w:abstractNumId="3">
    <w:nsid w:val="5A6FD64E"/>
    <w:multiLevelType w:val="singleLevel"/>
    <w:tmpl w:val="5A6FD64E"/>
    <w:lvl w:ilvl="0" w:tentative="0">
      <w:start w:val="1"/>
      <w:numFmt w:val="decimal"/>
      <w:suff w:val="nothing"/>
      <w:lvlText w:val="%1、"/>
      <w:lvlJc w:val="left"/>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973B4"/>
    <w:rsid w:val="000214B6"/>
    <w:rsid w:val="00022B3B"/>
    <w:rsid w:val="0003373A"/>
    <w:rsid w:val="00047171"/>
    <w:rsid w:val="0004784D"/>
    <w:rsid w:val="0005199E"/>
    <w:rsid w:val="00054FDA"/>
    <w:rsid w:val="0005697E"/>
    <w:rsid w:val="00064733"/>
    <w:rsid w:val="00067211"/>
    <w:rsid w:val="00077664"/>
    <w:rsid w:val="000849D2"/>
    <w:rsid w:val="00093496"/>
    <w:rsid w:val="000A5E44"/>
    <w:rsid w:val="000B1394"/>
    <w:rsid w:val="000B2962"/>
    <w:rsid w:val="000B40BD"/>
    <w:rsid w:val="000C123B"/>
    <w:rsid w:val="000D108C"/>
    <w:rsid w:val="000D5E06"/>
    <w:rsid w:val="000E2B69"/>
    <w:rsid w:val="000E4607"/>
    <w:rsid w:val="000E79D8"/>
    <w:rsid w:val="000F35F1"/>
    <w:rsid w:val="001037D5"/>
    <w:rsid w:val="001105B5"/>
    <w:rsid w:val="00112DDC"/>
    <w:rsid w:val="00124422"/>
    <w:rsid w:val="00130839"/>
    <w:rsid w:val="001421D7"/>
    <w:rsid w:val="00155DE4"/>
    <w:rsid w:val="001657FA"/>
    <w:rsid w:val="00176F07"/>
    <w:rsid w:val="001816F4"/>
    <w:rsid w:val="001858CC"/>
    <w:rsid w:val="001953AA"/>
    <w:rsid w:val="001965EC"/>
    <w:rsid w:val="001A2C67"/>
    <w:rsid w:val="001A2D7F"/>
    <w:rsid w:val="001A3DF8"/>
    <w:rsid w:val="001A4705"/>
    <w:rsid w:val="001C414C"/>
    <w:rsid w:val="001E2378"/>
    <w:rsid w:val="001F5CB1"/>
    <w:rsid w:val="00210A0C"/>
    <w:rsid w:val="00212CA6"/>
    <w:rsid w:val="00216789"/>
    <w:rsid w:val="002178DD"/>
    <w:rsid w:val="00222532"/>
    <w:rsid w:val="00224FEC"/>
    <w:rsid w:val="00237445"/>
    <w:rsid w:val="00244D31"/>
    <w:rsid w:val="00245C6E"/>
    <w:rsid w:val="00250259"/>
    <w:rsid w:val="00252A58"/>
    <w:rsid w:val="002603B9"/>
    <w:rsid w:val="00266D1E"/>
    <w:rsid w:val="0027207F"/>
    <w:rsid w:val="0029508B"/>
    <w:rsid w:val="002A0E6E"/>
    <w:rsid w:val="002A16D5"/>
    <w:rsid w:val="002B3D51"/>
    <w:rsid w:val="002B5942"/>
    <w:rsid w:val="002B698C"/>
    <w:rsid w:val="002C1094"/>
    <w:rsid w:val="002C221B"/>
    <w:rsid w:val="002C3E0D"/>
    <w:rsid w:val="002D0595"/>
    <w:rsid w:val="002D41FB"/>
    <w:rsid w:val="002E1E1D"/>
    <w:rsid w:val="00305AF4"/>
    <w:rsid w:val="00305CB7"/>
    <w:rsid w:val="00305F8E"/>
    <w:rsid w:val="00330719"/>
    <w:rsid w:val="00334C7D"/>
    <w:rsid w:val="00337922"/>
    <w:rsid w:val="00337B1A"/>
    <w:rsid w:val="00340867"/>
    <w:rsid w:val="00342857"/>
    <w:rsid w:val="00343742"/>
    <w:rsid w:val="003471D1"/>
    <w:rsid w:val="003627B6"/>
    <w:rsid w:val="00362BE6"/>
    <w:rsid w:val="00362ED9"/>
    <w:rsid w:val="003708D5"/>
    <w:rsid w:val="003712C7"/>
    <w:rsid w:val="003715B9"/>
    <w:rsid w:val="00374046"/>
    <w:rsid w:val="00376A47"/>
    <w:rsid w:val="00380837"/>
    <w:rsid w:val="00382136"/>
    <w:rsid w:val="003836CA"/>
    <w:rsid w:val="00386A98"/>
    <w:rsid w:val="003A7DC8"/>
    <w:rsid w:val="003B10EF"/>
    <w:rsid w:val="003B2BCD"/>
    <w:rsid w:val="003B69F5"/>
    <w:rsid w:val="003C7F1E"/>
    <w:rsid w:val="003D6BE3"/>
    <w:rsid w:val="003F20A5"/>
    <w:rsid w:val="003F3796"/>
    <w:rsid w:val="003F5ED7"/>
    <w:rsid w:val="004012B5"/>
    <w:rsid w:val="00403752"/>
    <w:rsid w:val="00405D5F"/>
    <w:rsid w:val="00407008"/>
    <w:rsid w:val="00410914"/>
    <w:rsid w:val="00422E32"/>
    <w:rsid w:val="00430003"/>
    <w:rsid w:val="004304FA"/>
    <w:rsid w:val="0043494E"/>
    <w:rsid w:val="00441C5F"/>
    <w:rsid w:val="00451D10"/>
    <w:rsid w:val="00465FE1"/>
    <w:rsid w:val="00485574"/>
    <w:rsid w:val="00491735"/>
    <w:rsid w:val="0049488A"/>
    <w:rsid w:val="004A39E1"/>
    <w:rsid w:val="004A4776"/>
    <w:rsid w:val="004B0102"/>
    <w:rsid w:val="004B217F"/>
    <w:rsid w:val="004C027B"/>
    <w:rsid w:val="004C07FE"/>
    <w:rsid w:val="004D0624"/>
    <w:rsid w:val="004D1394"/>
    <w:rsid w:val="004E0DBF"/>
    <w:rsid w:val="004E5D23"/>
    <w:rsid w:val="004F008A"/>
    <w:rsid w:val="004F12EB"/>
    <w:rsid w:val="004F4590"/>
    <w:rsid w:val="00513583"/>
    <w:rsid w:val="005137A3"/>
    <w:rsid w:val="00517783"/>
    <w:rsid w:val="00521CF0"/>
    <w:rsid w:val="005276EC"/>
    <w:rsid w:val="00527995"/>
    <w:rsid w:val="00527E23"/>
    <w:rsid w:val="00536930"/>
    <w:rsid w:val="00564E53"/>
    <w:rsid w:val="00564FC3"/>
    <w:rsid w:val="00574EE4"/>
    <w:rsid w:val="00583277"/>
    <w:rsid w:val="00587F11"/>
    <w:rsid w:val="005919A2"/>
    <w:rsid w:val="00592C3E"/>
    <w:rsid w:val="005A000F"/>
    <w:rsid w:val="005A5A31"/>
    <w:rsid w:val="005B01D8"/>
    <w:rsid w:val="005B6888"/>
    <w:rsid w:val="005C27D9"/>
    <w:rsid w:val="005D4C40"/>
    <w:rsid w:val="005E3B26"/>
    <w:rsid w:val="005E794C"/>
    <w:rsid w:val="005F3F2C"/>
    <w:rsid w:val="005F4CDA"/>
    <w:rsid w:val="005F6C65"/>
    <w:rsid w:val="005F7148"/>
    <w:rsid w:val="00600F02"/>
    <w:rsid w:val="0060444D"/>
    <w:rsid w:val="00612015"/>
    <w:rsid w:val="006148DF"/>
    <w:rsid w:val="006233A5"/>
    <w:rsid w:val="006302F5"/>
    <w:rsid w:val="006379CB"/>
    <w:rsid w:val="00642776"/>
    <w:rsid w:val="00644FE2"/>
    <w:rsid w:val="006457AD"/>
    <w:rsid w:val="00645FB8"/>
    <w:rsid w:val="00647894"/>
    <w:rsid w:val="00651986"/>
    <w:rsid w:val="006545E8"/>
    <w:rsid w:val="00665980"/>
    <w:rsid w:val="0067640C"/>
    <w:rsid w:val="00686B64"/>
    <w:rsid w:val="00695256"/>
    <w:rsid w:val="00695303"/>
    <w:rsid w:val="00695570"/>
    <w:rsid w:val="00696AF1"/>
    <w:rsid w:val="006A0FEF"/>
    <w:rsid w:val="006A3B31"/>
    <w:rsid w:val="006A68F3"/>
    <w:rsid w:val="006A71E1"/>
    <w:rsid w:val="006B4116"/>
    <w:rsid w:val="006B4127"/>
    <w:rsid w:val="006C0D0C"/>
    <w:rsid w:val="006C40B9"/>
    <w:rsid w:val="006D5592"/>
    <w:rsid w:val="006E678B"/>
    <w:rsid w:val="006F6902"/>
    <w:rsid w:val="0070133F"/>
    <w:rsid w:val="0070495A"/>
    <w:rsid w:val="00711F4C"/>
    <w:rsid w:val="0071239D"/>
    <w:rsid w:val="007170AA"/>
    <w:rsid w:val="00722762"/>
    <w:rsid w:val="00722A8E"/>
    <w:rsid w:val="0072354E"/>
    <w:rsid w:val="00732A46"/>
    <w:rsid w:val="00732B66"/>
    <w:rsid w:val="00734C50"/>
    <w:rsid w:val="00737195"/>
    <w:rsid w:val="007406DE"/>
    <w:rsid w:val="00742AEF"/>
    <w:rsid w:val="00743A75"/>
    <w:rsid w:val="00743E79"/>
    <w:rsid w:val="00751C37"/>
    <w:rsid w:val="00762DD4"/>
    <w:rsid w:val="007757F3"/>
    <w:rsid w:val="007815DC"/>
    <w:rsid w:val="00782659"/>
    <w:rsid w:val="007924AF"/>
    <w:rsid w:val="007A47FB"/>
    <w:rsid w:val="007A69EB"/>
    <w:rsid w:val="007B106B"/>
    <w:rsid w:val="007B275D"/>
    <w:rsid w:val="007E6AEB"/>
    <w:rsid w:val="007F01EC"/>
    <w:rsid w:val="007F0D4C"/>
    <w:rsid w:val="007F7DF2"/>
    <w:rsid w:val="008027A4"/>
    <w:rsid w:val="008062F9"/>
    <w:rsid w:val="008079FA"/>
    <w:rsid w:val="00851943"/>
    <w:rsid w:val="0086271A"/>
    <w:rsid w:val="00864902"/>
    <w:rsid w:val="00867B86"/>
    <w:rsid w:val="00877B85"/>
    <w:rsid w:val="008973EE"/>
    <w:rsid w:val="008A7B29"/>
    <w:rsid w:val="008B30A0"/>
    <w:rsid w:val="008B5618"/>
    <w:rsid w:val="008D089D"/>
    <w:rsid w:val="008D2567"/>
    <w:rsid w:val="008F0B04"/>
    <w:rsid w:val="0090649C"/>
    <w:rsid w:val="009078E2"/>
    <w:rsid w:val="00930694"/>
    <w:rsid w:val="0093521F"/>
    <w:rsid w:val="00945677"/>
    <w:rsid w:val="00962F78"/>
    <w:rsid w:val="00964A29"/>
    <w:rsid w:val="00965048"/>
    <w:rsid w:val="0096609F"/>
    <w:rsid w:val="00971600"/>
    <w:rsid w:val="009973B4"/>
    <w:rsid w:val="009A30D3"/>
    <w:rsid w:val="009A3DD9"/>
    <w:rsid w:val="009A4562"/>
    <w:rsid w:val="009A4A4C"/>
    <w:rsid w:val="009B6639"/>
    <w:rsid w:val="009B6CB4"/>
    <w:rsid w:val="009B7388"/>
    <w:rsid w:val="009E02D5"/>
    <w:rsid w:val="009E30DA"/>
    <w:rsid w:val="009F7EED"/>
    <w:rsid w:val="00A0704C"/>
    <w:rsid w:val="00A138EC"/>
    <w:rsid w:val="00A303E7"/>
    <w:rsid w:val="00A3050C"/>
    <w:rsid w:val="00A321CB"/>
    <w:rsid w:val="00A35FBB"/>
    <w:rsid w:val="00A54E47"/>
    <w:rsid w:val="00A562B1"/>
    <w:rsid w:val="00A62FD9"/>
    <w:rsid w:val="00A741A1"/>
    <w:rsid w:val="00A77C65"/>
    <w:rsid w:val="00A801DE"/>
    <w:rsid w:val="00A80B3F"/>
    <w:rsid w:val="00A8159C"/>
    <w:rsid w:val="00A83562"/>
    <w:rsid w:val="00A86A9D"/>
    <w:rsid w:val="00A90A22"/>
    <w:rsid w:val="00A918ED"/>
    <w:rsid w:val="00AA2E7E"/>
    <w:rsid w:val="00AB1BBD"/>
    <w:rsid w:val="00AB41FC"/>
    <w:rsid w:val="00AB7D2F"/>
    <w:rsid w:val="00AC0FC6"/>
    <w:rsid w:val="00AF0AAB"/>
    <w:rsid w:val="00B04731"/>
    <w:rsid w:val="00B0685B"/>
    <w:rsid w:val="00B13BC7"/>
    <w:rsid w:val="00B33301"/>
    <w:rsid w:val="00B35FC9"/>
    <w:rsid w:val="00B40603"/>
    <w:rsid w:val="00B51039"/>
    <w:rsid w:val="00B66466"/>
    <w:rsid w:val="00B7232D"/>
    <w:rsid w:val="00B74396"/>
    <w:rsid w:val="00B75693"/>
    <w:rsid w:val="00B8202D"/>
    <w:rsid w:val="00B94ED3"/>
    <w:rsid w:val="00B9599B"/>
    <w:rsid w:val="00B95F69"/>
    <w:rsid w:val="00BA46EC"/>
    <w:rsid w:val="00BC2015"/>
    <w:rsid w:val="00BC69E5"/>
    <w:rsid w:val="00BD011E"/>
    <w:rsid w:val="00BD1BD9"/>
    <w:rsid w:val="00BF3FAF"/>
    <w:rsid w:val="00BF597E"/>
    <w:rsid w:val="00BF7151"/>
    <w:rsid w:val="00C078CC"/>
    <w:rsid w:val="00C1322F"/>
    <w:rsid w:val="00C31C73"/>
    <w:rsid w:val="00C32115"/>
    <w:rsid w:val="00C32D23"/>
    <w:rsid w:val="00C37415"/>
    <w:rsid w:val="00C51A36"/>
    <w:rsid w:val="00C52ACE"/>
    <w:rsid w:val="00C548BE"/>
    <w:rsid w:val="00C55228"/>
    <w:rsid w:val="00C57F13"/>
    <w:rsid w:val="00C62BD1"/>
    <w:rsid w:val="00C67E19"/>
    <w:rsid w:val="00C67E47"/>
    <w:rsid w:val="00C71E85"/>
    <w:rsid w:val="00C75651"/>
    <w:rsid w:val="00C86F9B"/>
    <w:rsid w:val="00C9158B"/>
    <w:rsid w:val="00C93DAB"/>
    <w:rsid w:val="00C9448F"/>
    <w:rsid w:val="00CB0BB0"/>
    <w:rsid w:val="00CB260B"/>
    <w:rsid w:val="00CC7261"/>
    <w:rsid w:val="00CD5516"/>
    <w:rsid w:val="00CE084D"/>
    <w:rsid w:val="00CE315A"/>
    <w:rsid w:val="00CE7BE1"/>
    <w:rsid w:val="00CF1726"/>
    <w:rsid w:val="00CF34E3"/>
    <w:rsid w:val="00CF6C5C"/>
    <w:rsid w:val="00D01731"/>
    <w:rsid w:val="00D0514D"/>
    <w:rsid w:val="00D06F59"/>
    <w:rsid w:val="00D12B63"/>
    <w:rsid w:val="00D24D0E"/>
    <w:rsid w:val="00D257EB"/>
    <w:rsid w:val="00D3392D"/>
    <w:rsid w:val="00D33B2E"/>
    <w:rsid w:val="00D35291"/>
    <w:rsid w:val="00D35CC0"/>
    <w:rsid w:val="00D52340"/>
    <w:rsid w:val="00D546BA"/>
    <w:rsid w:val="00D54F54"/>
    <w:rsid w:val="00D55E69"/>
    <w:rsid w:val="00D562F6"/>
    <w:rsid w:val="00D67E9B"/>
    <w:rsid w:val="00D8388C"/>
    <w:rsid w:val="00D850A2"/>
    <w:rsid w:val="00D95C39"/>
    <w:rsid w:val="00D95E05"/>
    <w:rsid w:val="00DB1644"/>
    <w:rsid w:val="00DB2B24"/>
    <w:rsid w:val="00DB6D65"/>
    <w:rsid w:val="00DC0D79"/>
    <w:rsid w:val="00DC261B"/>
    <w:rsid w:val="00DC5042"/>
    <w:rsid w:val="00DC6D9C"/>
    <w:rsid w:val="00DD6AE9"/>
    <w:rsid w:val="00DE11F8"/>
    <w:rsid w:val="00DE2D80"/>
    <w:rsid w:val="00DE6542"/>
    <w:rsid w:val="00DE6E1A"/>
    <w:rsid w:val="00DF1A6F"/>
    <w:rsid w:val="00DF689E"/>
    <w:rsid w:val="00E038E4"/>
    <w:rsid w:val="00E06F75"/>
    <w:rsid w:val="00E1334D"/>
    <w:rsid w:val="00E17D47"/>
    <w:rsid w:val="00E2469C"/>
    <w:rsid w:val="00E4035E"/>
    <w:rsid w:val="00E43822"/>
    <w:rsid w:val="00E547D2"/>
    <w:rsid w:val="00E611E4"/>
    <w:rsid w:val="00E63714"/>
    <w:rsid w:val="00E65DB7"/>
    <w:rsid w:val="00E75415"/>
    <w:rsid w:val="00E86BC9"/>
    <w:rsid w:val="00E90598"/>
    <w:rsid w:val="00E9727C"/>
    <w:rsid w:val="00E97424"/>
    <w:rsid w:val="00EA4601"/>
    <w:rsid w:val="00EA55F7"/>
    <w:rsid w:val="00EA7C25"/>
    <w:rsid w:val="00EB0164"/>
    <w:rsid w:val="00EB023C"/>
    <w:rsid w:val="00EC39E9"/>
    <w:rsid w:val="00EC42F5"/>
    <w:rsid w:val="00ED0F62"/>
    <w:rsid w:val="00EE07A4"/>
    <w:rsid w:val="00EF35E4"/>
    <w:rsid w:val="00F074A0"/>
    <w:rsid w:val="00F16D87"/>
    <w:rsid w:val="00F25812"/>
    <w:rsid w:val="00F26299"/>
    <w:rsid w:val="00F42D4A"/>
    <w:rsid w:val="00F53331"/>
    <w:rsid w:val="00F606E1"/>
    <w:rsid w:val="00F66839"/>
    <w:rsid w:val="00F83639"/>
    <w:rsid w:val="00F840C3"/>
    <w:rsid w:val="00F937DF"/>
    <w:rsid w:val="00F956F5"/>
    <w:rsid w:val="00FA0833"/>
    <w:rsid w:val="00FA0944"/>
    <w:rsid w:val="00FA350D"/>
    <w:rsid w:val="00FC50D3"/>
    <w:rsid w:val="00FC712F"/>
    <w:rsid w:val="00FD2869"/>
    <w:rsid w:val="00FD5EE5"/>
    <w:rsid w:val="00FD72A6"/>
    <w:rsid w:val="00FE2C5C"/>
    <w:rsid w:val="0BE6604E"/>
    <w:rsid w:val="0F0D0C84"/>
    <w:rsid w:val="107B68F3"/>
    <w:rsid w:val="108219C2"/>
    <w:rsid w:val="13113F5E"/>
    <w:rsid w:val="1F8C2B14"/>
    <w:rsid w:val="1FDE71C6"/>
    <w:rsid w:val="20EF686E"/>
    <w:rsid w:val="21B816C3"/>
    <w:rsid w:val="2D827678"/>
    <w:rsid w:val="2F154125"/>
    <w:rsid w:val="357E425D"/>
    <w:rsid w:val="38730E12"/>
    <w:rsid w:val="38870F65"/>
    <w:rsid w:val="3DEE782B"/>
    <w:rsid w:val="48077183"/>
    <w:rsid w:val="48DF582D"/>
    <w:rsid w:val="491404DE"/>
    <w:rsid w:val="49B27FF2"/>
    <w:rsid w:val="524A6AFC"/>
    <w:rsid w:val="56C07D9E"/>
    <w:rsid w:val="5A06392C"/>
    <w:rsid w:val="5A2266D5"/>
    <w:rsid w:val="5ABA0290"/>
    <w:rsid w:val="5CA26D84"/>
    <w:rsid w:val="5EA12B9A"/>
    <w:rsid w:val="64434493"/>
    <w:rsid w:val="74586A5B"/>
    <w:rsid w:val="74B516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qFormat/>
    <w:uiPriority w:val="0"/>
    <w:pPr>
      <w:keepNext/>
      <w:outlineLvl w:val="1"/>
    </w:pPr>
    <w:rPr>
      <w:b/>
      <w:bCs/>
      <w:sz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qFormat/>
    <w:uiPriority w:val="0"/>
    <w:pPr>
      <w:tabs>
        <w:tab w:val="left" w:pos="0"/>
        <w:tab w:val="left" w:pos="180"/>
      </w:tabs>
      <w:spacing w:line="360" w:lineRule="auto"/>
      <w:jc w:val="left"/>
    </w:pPr>
    <w:rPr>
      <w:sz w:val="28"/>
    </w:rPr>
  </w:style>
  <w:style w:type="paragraph" w:styleId="5">
    <w:name w:val="Body Text Indent"/>
    <w:basedOn w:val="1"/>
    <w:semiHidden/>
    <w:qFormat/>
    <w:uiPriority w:val="99"/>
    <w:pPr>
      <w:spacing w:after="120"/>
      <w:ind w:left="420" w:leftChars="200"/>
    </w:pPr>
  </w:style>
  <w:style w:type="paragraph" w:styleId="6">
    <w:name w:val="Plain Text"/>
    <w:basedOn w:val="1"/>
    <w:link w:val="18"/>
    <w:qFormat/>
    <w:uiPriority w:val="0"/>
    <w:pPr>
      <w:widowControl/>
      <w:jc w:val="left"/>
    </w:pPr>
    <w:rPr>
      <w:rFonts w:ascii="宋体" w:hAnsi="Courier New"/>
      <w:kern w:val="0"/>
      <w:sz w:val="20"/>
      <w:lang w:eastAsia="en-US"/>
    </w:rPr>
  </w:style>
  <w:style w:type="paragraph" w:styleId="7">
    <w:name w:val="Balloon Text"/>
    <w:basedOn w:val="1"/>
    <w:link w:val="16"/>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5"/>
    <w:qFormat/>
    <w:uiPriority w:val="99"/>
    <w:pPr>
      <w:spacing w:after="0"/>
      <w:ind w:left="0" w:leftChars="0" w:firstLine="420" w:firstLineChars="200"/>
      <w:jc w:val="left"/>
    </w:pPr>
    <w:rPr>
      <w:rFonts w:ascii="宋体" w:hAnsi="宋体" w:eastAsia="仿宋_GB2312"/>
      <w:color w:val="000000"/>
      <w:sz w:val="28"/>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页眉 Char"/>
    <w:basedOn w:val="13"/>
    <w:link w:val="9"/>
    <w:qFormat/>
    <w:uiPriority w:val="99"/>
    <w:rPr>
      <w:rFonts w:ascii="Times New Roman" w:hAnsi="Times New Roman" w:eastAsia="宋体" w:cs="Times New Roman"/>
      <w:sz w:val="18"/>
      <w:szCs w:val="18"/>
    </w:rPr>
  </w:style>
  <w:style w:type="character" w:customStyle="1" w:styleId="15">
    <w:name w:val="页脚 Char"/>
    <w:basedOn w:val="13"/>
    <w:link w:val="8"/>
    <w:qFormat/>
    <w:uiPriority w:val="99"/>
    <w:rPr>
      <w:rFonts w:ascii="Times New Roman" w:hAnsi="Times New Roman" w:eastAsia="宋体" w:cs="Times New Roman"/>
      <w:sz w:val="18"/>
      <w:szCs w:val="18"/>
    </w:rPr>
  </w:style>
  <w:style w:type="character" w:customStyle="1" w:styleId="16">
    <w:name w:val="批注框文本 Char"/>
    <w:basedOn w:val="13"/>
    <w:link w:val="7"/>
    <w:semiHidden/>
    <w:qFormat/>
    <w:uiPriority w:val="99"/>
    <w:rPr>
      <w:rFonts w:ascii="Times New Roman" w:hAnsi="Times New Roman" w:eastAsia="宋体" w:cs="Times New Roman"/>
      <w:sz w:val="18"/>
      <w:szCs w:val="18"/>
    </w:rPr>
  </w:style>
  <w:style w:type="character" w:customStyle="1" w:styleId="17">
    <w:name w:val="Char Char1"/>
    <w:qFormat/>
    <w:locked/>
    <w:uiPriority w:val="0"/>
    <w:rPr>
      <w:rFonts w:hint="eastAsia" w:ascii="宋体" w:hAnsi="Courier New" w:eastAsia="宋体"/>
      <w:kern w:val="2"/>
      <w:sz w:val="21"/>
      <w:lang w:val="en-US" w:eastAsia="zh-CN" w:bidi="ar-SA"/>
    </w:rPr>
  </w:style>
  <w:style w:type="character" w:customStyle="1" w:styleId="18">
    <w:name w:val="纯文本 Char"/>
    <w:basedOn w:val="13"/>
    <w:link w:val="6"/>
    <w:qFormat/>
    <w:uiPriority w:val="0"/>
    <w:rPr>
      <w:rFonts w:ascii="宋体" w:hAnsi="Courier New" w:eastAsia="宋体" w:cs="Times New Roman"/>
      <w:lang w:eastAsia="en-US"/>
    </w:rPr>
  </w:style>
  <w:style w:type="paragraph" w:customStyle="1" w:styleId="19">
    <w:name w:val="_Style 2"/>
    <w:basedOn w:val="1"/>
    <w:qFormat/>
    <w:uiPriority w:val="0"/>
    <w:pPr>
      <w:widowControl/>
      <w:ind w:firstLine="420" w:firstLineChars="200"/>
      <w:jc w:val="left"/>
    </w:pPr>
    <w:rPr>
      <w:kern w:val="0"/>
      <w:sz w:val="20"/>
      <w:lang w:eastAsia="en-US"/>
    </w:rPr>
  </w:style>
  <w:style w:type="paragraph" w:customStyle="1" w:styleId="20">
    <w:name w:val="Default"/>
    <w:qFormat/>
    <w:uiPriority w:val="0"/>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paragraph"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948</Words>
  <Characters>5407</Characters>
  <Lines>45</Lines>
  <Paragraphs>12</Paragraphs>
  <TotalTime>2</TotalTime>
  <ScaleCrop>false</ScaleCrop>
  <LinksUpToDate>false</LinksUpToDate>
  <CharactersWithSpaces>6343</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2015-06-17T12:51:00Z</dcterms:created>
  <dc:creator>微软用户</dc:creator>
  <cp:lastModifiedBy>LIL</cp:lastModifiedBy>
  <dcterms:modified xsi:type="dcterms:W3CDTF">2020-08-09T04:33:55Z</dcterms:modified>
  <cp:revision>610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